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none" w:color="000000" w:sz="0" w:space="0"/>
          <w:left w:val="none" w:color="000000" w:sz="0" w:space="0"/>
          <w:bottom w:val="none" w:color="000000" w:sz="0" w:space="23"/>
          <w:right w:val="none" w:color="000000" w:sz="0" w:space="0"/>
        </w:pBdr>
        <w:autoSpaceDE w:val="0"/>
        <w:autoSpaceDN w:val="0"/>
        <w:adjustRightInd/>
        <w:snapToGrid w:val="0"/>
        <w:spacing w:beforeLines="0" w:afterLines="0" w:line="560" w:lineRule="exact"/>
        <w:contextualSpacing/>
        <w:jc w:val="both"/>
        <w:rPr>
          <w:rFonts w:hint="default" w:ascii="仿宋" w:hAnsi="仿宋" w:eastAsia="仿宋" w:cs="仿宋"/>
          <w:color w:val="auto"/>
          <w:sz w:val="32"/>
          <w:szCs w:val="32"/>
          <w:highlight w:val="none"/>
          <w:lang w:val="en-US" w:eastAsia="zh-CN"/>
        </w:rPr>
      </w:pPr>
      <w:bookmarkStart w:id="0" w:name="_Hlk27124492"/>
      <w:r>
        <w:rPr>
          <w:rFonts w:hint="eastAsia" w:ascii="仿宋" w:hAnsi="仿宋" w:eastAsia="仿宋" w:cs="仿宋"/>
          <w:color w:val="auto"/>
          <w:sz w:val="32"/>
          <w:szCs w:val="32"/>
          <w:highlight w:val="none"/>
          <w:lang w:val="en-US" w:eastAsia="zh-CN"/>
        </w:rPr>
        <w:t>附件1</w:t>
      </w:r>
    </w:p>
    <w:p>
      <w:pPr>
        <w:widowControl/>
        <w:pBdr>
          <w:top w:val="none" w:color="000000" w:sz="0" w:space="0"/>
          <w:left w:val="none" w:color="000000" w:sz="0" w:space="0"/>
          <w:bottom w:val="none" w:color="000000" w:sz="0" w:space="23"/>
          <w:right w:val="none" w:color="000000" w:sz="0" w:space="0"/>
        </w:pBdr>
        <w:autoSpaceDE w:val="0"/>
        <w:autoSpaceDN w:val="0"/>
        <w:snapToGrid w:val="0"/>
        <w:spacing w:beforeLines="0" w:afterLines="0" w:line="560" w:lineRule="exact"/>
        <w:contextualSpacing/>
        <w:jc w:val="center"/>
        <w:outlineLvl w:val="9"/>
        <w:rPr>
          <w:rFonts w:hint="eastAsia" w:ascii="方正小标宋简体" w:hAnsi="方正小标宋简体" w:eastAsia="方正小标宋简体" w:cs="方正小标宋简体"/>
          <w:color w:val="auto"/>
          <w:sz w:val="44"/>
          <w:szCs w:val="44"/>
          <w:highlight w:val="none"/>
        </w:rPr>
      </w:pPr>
      <w:r>
        <w:rPr>
          <w:rFonts w:hint="default" w:ascii="方正小标宋简体" w:hAnsi="方正小标宋简体" w:eastAsia="方正小标宋简体" w:cs="方正小标宋简体"/>
          <w:b w:val="0"/>
          <w:bCs w:val="0"/>
          <w:color w:val="auto"/>
          <w:sz w:val="44"/>
          <w:szCs w:val="44"/>
          <w:lang w:eastAsia="zh-CN"/>
        </w:rPr>
        <w:t>关于</w:t>
      </w:r>
      <w:r>
        <w:rPr>
          <w:rFonts w:hint="eastAsia" w:ascii="方正小标宋简体" w:hAnsi="方正小标宋简体" w:eastAsia="方正小标宋简体" w:cs="方正小标宋简体"/>
          <w:color w:val="auto"/>
          <w:sz w:val="44"/>
          <w:szCs w:val="44"/>
          <w:highlight w:val="none"/>
        </w:rPr>
        <w:t>规范工程建设项目</w:t>
      </w:r>
      <w:r>
        <w:rPr>
          <w:rFonts w:hint="eastAsia" w:ascii="方正小标宋简体" w:hAnsi="方正小标宋简体" w:eastAsia="方正小标宋简体" w:cs="方正小标宋简体"/>
          <w:color w:val="auto"/>
          <w:sz w:val="44"/>
          <w:szCs w:val="44"/>
          <w:highlight w:val="none"/>
          <w:lang w:eastAsia="zh-CN"/>
        </w:rPr>
        <w:t>砂石土余渣</w:t>
      </w:r>
      <w:r>
        <w:rPr>
          <w:rFonts w:hint="eastAsia" w:ascii="方正小标宋简体" w:hAnsi="方正小标宋简体" w:eastAsia="方正小标宋简体" w:cs="方正小标宋简体"/>
          <w:color w:val="auto"/>
          <w:sz w:val="44"/>
          <w:szCs w:val="44"/>
          <w:highlight w:val="none"/>
        </w:rPr>
        <w:t>利用</w:t>
      </w:r>
    </w:p>
    <w:p>
      <w:pPr>
        <w:widowControl/>
        <w:pBdr>
          <w:top w:val="none" w:color="000000" w:sz="0" w:space="0"/>
          <w:left w:val="none" w:color="000000" w:sz="0" w:space="0"/>
          <w:bottom w:val="none" w:color="000000" w:sz="0" w:space="23"/>
          <w:right w:val="none" w:color="000000" w:sz="0" w:space="0"/>
        </w:pBdr>
        <w:autoSpaceDE w:val="0"/>
        <w:autoSpaceDN w:val="0"/>
        <w:snapToGrid w:val="0"/>
        <w:spacing w:beforeLines="0" w:afterLines="0" w:line="560" w:lineRule="exact"/>
        <w:contextualSpacing/>
        <w:jc w:val="center"/>
        <w:outlineLvl w:val="9"/>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color w:val="auto"/>
          <w:sz w:val="44"/>
          <w:szCs w:val="44"/>
          <w:highlight w:val="none"/>
        </w:rPr>
        <w:t>管理</w:t>
      </w:r>
      <w:r>
        <w:rPr>
          <w:rFonts w:hint="eastAsia" w:ascii="方正小标宋简体" w:hAnsi="方正小标宋简体" w:eastAsia="方正小标宋简体" w:cs="方正小标宋简体"/>
          <w:b w:val="0"/>
          <w:bCs w:val="0"/>
          <w:color w:val="auto"/>
          <w:sz w:val="44"/>
          <w:szCs w:val="44"/>
        </w:rPr>
        <w:t>的通知</w:t>
      </w:r>
      <w:bookmarkEnd w:id="0"/>
      <w:bookmarkStart w:id="1" w:name="_GoBack"/>
      <w:bookmarkEnd w:id="1"/>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lang w:val="en-US" w:eastAsia="zh-CN"/>
        </w:rPr>
        <w:t>征求意见稿</w:t>
      </w:r>
      <w:r>
        <w:rPr>
          <w:rFonts w:hint="eastAsia" w:ascii="方正小标宋简体" w:hAnsi="方正小标宋简体" w:eastAsia="方正小标宋简体" w:cs="方正小标宋简体"/>
          <w:b w:val="0"/>
          <w:bCs w:val="0"/>
          <w:color w:val="auto"/>
          <w:sz w:val="44"/>
          <w:szCs w:val="44"/>
          <w:lang w:eastAsia="zh-CN"/>
        </w:rPr>
        <w:t>）</w:t>
      </w:r>
    </w:p>
    <w:p>
      <w:pPr>
        <w:widowControl/>
        <w:pBdr>
          <w:top w:val="none" w:color="000000" w:sz="0" w:space="0"/>
          <w:left w:val="none" w:color="000000" w:sz="0" w:space="0"/>
          <w:bottom w:val="none" w:color="000000" w:sz="0" w:space="23"/>
          <w:right w:val="none" w:color="000000" w:sz="0" w:space="0"/>
        </w:pBdr>
        <w:autoSpaceDE w:val="0"/>
        <w:autoSpaceDN w:val="0"/>
        <w:snapToGrid w:val="0"/>
        <w:spacing w:beforeLines="0" w:afterLines="0" w:line="560" w:lineRule="exact"/>
        <w:contextualSpacing/>
        <w:jc w:val="center"/>
        <w:outlineLvl w:val="9"/>
        <w:rPr>
          <w:rFonts w:hint="eastAsia" w:ascii="仿宋" w:hAnsi="仿宋" w:eastAsia="仿宋" w:cs="仿宋"/>
          <w:b w:val="0"/>
          <w:bCs w:val="0"/>
          <w:color w:val="auto"/>
          <w:sz w:val="32"/>
          <w:szCs w:val="32"/>
        </w:rPr>
      </w:pPr>
    </w:p>
    <w:p>
      <w:pPr>
        <w:widowControl/>
        <w:pBdr>
          <w:top w:val="none" w:color="000000" w:sz="0" w:space="0"/>
          <w:left w:val="none" w:color="000000" w:sz="0" w:space="0"/>
          <w:bottom w:val="none" w:color="000000" w:sz="0" w:space="23"/>
          <w:right w:val="none" w:color="000000" w:sz="0" w:space="0"/>
        </w:pBdr>
        <w:autoSpaceDE w:val="0"/>
        <w:autoSpaceDN w:val="0"/>
        <w:adjustRightInd/>
        <w:snapToGrid w:val="0"/>
        <w:spacing w:beforeLines="0" w:afterLines="0" w:line="560" w:lineRule="exact"/>
        <w:ind w:firstLine="640"/>
        <w:contextualSpacing/>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为规范我市工程建设项目砂石土余渣利用管理工作，现就有关事项通知如下：</w:t>
      </w:r>
    </w:p>
    <w:p>
      <w:pPr>
        <w:widowControl/>
        <w:numPr>
          <w:ilvl w:val="0"/>
          <w:numId w:val="0"/>
        </w:numPr>
        <w:pBdr>
          <w:top w:val="none" w:color="000000" w:sz="0" w:space="0"/>
          <w:left w:val="none" w:color="000000" w:sz="0" w:space="0"/>
          <w:bottom w:val="none" w:color="000000" w:sz="0" w:space="23"/>
          <w:right w:val="none" w:color="000000" w:sz="0" w:space="0"/>
        </w:pBdr>
        <w:autoSpaceDE w:val="0"/>
        <w:autoSpaceDN w:val="0"/>
        <w:adjustRightInd/>
        <w:snapToGrid w:val="0"/>
        <w:spacing w:beforeLines="0" w:afterLines="0" w:line="560" w:lineRule="exact"/>
        <w:ind w:firstLine="0"/>
        <w:contextualSpacing/>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一、本通知所称工程建设项目砂石土余渣是指我市范围内经政府或政府有关部门批准的交通基础设施工程、水利基础设施工程、海洋工程建设项目砂石土余渣（疏浚物）、国土空间生态修复工程、土地平整工程在批准的工程施工范围及施工期间采挖出的非工程自用的砂、石、土。根据《中华人民共和国固体废物污染环境防治法》规定，</w:t>
      </w:r>
      <w:r>
        <w:rPr>
          <w:rFonts w:hint="eastAsia" w:ascii="仿宋" w:hAnsi="仿宋" w:eastAsia="仿宋" w:cs="仿宋"/>
          <w:color w:val="auto"/>
          <w:sz w:val="32"/>
          <w:szCs w:val="32"/>
          <w:highlight w:val="none"/>
          <w:lang w:eastAsia="zh-CN"/>
        </w:rPr>
        <w:t>工程建设项目采挖过程中产生的弃土，按照建筑垃圾相关规定进行管理。</w:t>
      </w:r>
    </w:p>
    <w:p>
      <w:pPr>
        <w:widowControl/>
        <w:numPr>
          <w:ilvl w:val="0"/>
          <w:numId w:val="0"/>
        </w:numPr>
        <w:pBdr>
          <w:top w:val="none" w:color="000000" w:sz="0" w:space="0"/>
          <w:left w:val="none" w:color="000000" w:sz="0" w:space="0"/>
          <w:bottom w:val="none" w:color="000000" w:sz="0" w:space="23"/>
          <w:right w:val="none" w:color="000000" w:sz="0" w:space="0"/>
        </w:pBdr>
        <w:autoSpaceDE w:val="0"/>
        <w:autoSpaceDN w:val="0"/>
        <w:adjustRightInd/>
        <w:snapToGrid w:val="0"/>
        <w:spacing w:beforeLines="0" w:afterLines="0" w:line="560" w:lineRule="exact"/>
        <w:ind w:firstLine="0"/>
        <w:contextualSpacing/>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二、砂石土余渣属国有资源（资产），应按本通知有关规定利用管理，处置收益归政府所有。</w:t>
      </w:r>
    </w:p>
    <w:p>
      <w:pPr>
        <w:widowControl/>
        <w:numPr>
          <w:ilvl w:val="0"/>
          <w:numId w:val="0"/>
        </w:numPr>
        <w:pBdr>
          <w:top w:val="none" w:color="000000" w:sz="0" w:space="0"/>
          <w:left w:val="none" w:color="000000" w:sz="0" w:space="0"/>
          <w:bottom w:val="none" w:color="000000" w:sz="0" w:space="23"/>
          <w:right w:val="none" w:color="000000" w:sz="0" w:space="0"/>
        </w:pBdr>
        <w:autoSpaceDE w:val="0"/>
        <w:autoSpaceDN w:val="0"/>
        <w:adjustRightInd/>
        <w:snapToGrid w:val="0"/>
        <w:spacing w:beforeLines="0" w:afterLines="0" w:line="560" w:lineRule="exact"/>
        <w:ind w:firstLine="0"/>
        <w:contextualSpacing/>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三、依据岩土工程勘察（勘查）、设计报告，工程建设项目建设单位（包括代建单位，以下统称建设单位）须在工程建设项目勘察、设计阶段完成砂石的认定和余渣量初步核算。砂石土余渣量达到本通知规定应计收砂石土余渣处置收益标准的，建设单位应委托不少于两家具有资产评估资质的机构</w:t>
      </w:r>
      <w:r>
        <w:rPr>
          <w:rFonts w:hint="eastAsia" w:ascii="仿宋" w:hAnsi="仿宋" w:eastAsia="仿宋" w:cs="仿宋"/>
          <w:color w:val="auto"/>
          <w:sz w:val="32"/>
          <w:szCs w:val="32"/>
          <w:highlight w:val="none"/>
          <w:lang w:val="zh-CN" w:eastAsia="zh-CN"/>
        </w:rPr>
        <w:t>按照《资产评估法》</w:t>
      </w:r>
      <w:r>
        <w:rPr>
          <w:rFonts w:hint="eastAsia" w:ascii="仿宋" w:hAnsi="仿宋" w:eastAsia="仿宋" w:cs="仿宋"/>
          <w:color w:val="auto"/>
          <w:sz w:val="32"/>
          <w:szCs w:val="32"/>
          <w:highlight w:val="none"/>
          <w:lang w:val="en-US" w:eastAsia="zh-CN"/>
        </w:rPr>
        <w:t>完成砂石土余渣价格评估（不含采挖等工程费用），参考评估平均价格确定评估价或销售底价，编制砂石土余渣处置方案报工程建设项目主管部门审查，审查工作应当在工程预算批复前完成。</w:t>
      </w:r>
    </w:p>
    <w:p>
      <w:pPr>
        <w:widowControl/>
        <w:numPr>
          <w:ilvl w:val="0"/>
          <w:numId w:val="0"/>
        </w:numPr>
        <w:pBdr>
          <w:top w:val="none" w:color="000000" w:sz="0" w:space="0"/>
          <w:left w:val="none" w:color="000000" w:sz="0" w:space="0"/>
          <w:bottom w:val="none" w:color="000000" w:sz="0" w:space="23"/>
          <w:right w:val="none" w:color="000000" w:sz="0" w:space="0"/>
        </w:pBdr>
        <w:autoSpaceDE w:val="0"/>
        <w:autoSpaceDN w:val="0"/>
        <w:adjustRightInd/>
        <w:snapToGrid w:val="0"/>
        <w:spacing w:beforeLines="0" w:afterLines="0" w:line="560" w:lineRule="exact"/>
        <w:ind w:firstLine="640"/>
        <w:contextualSpacing/>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工程建设项目砂石土余渣处置方案经工程建设项目主管部门审查通过后报财政部门备案，其中市级及以上财政、市级及以上国有企业投资为主的工程建设项目报市级财政部门备案，其余工程建设项目报项目所在地县级财政部门备案。</w:t>
      </w:r>
    </w:p>
    <w:p>
      <w:pPr>
        <w:widowControl/>
        <w:numPr>
          <w:ilvl w:val="0"/>
          <w:numId w:val="0"/>
        </w:numPr>
        <w:pBdr>
          <w:top w:val="none" w:color="000000" w:sz="0" w:space="0"/>
          <w:left w:val="none" w:color="000000" w:sz="0" w:space="0"/>
          <w:bottom w:val="none" w:color="000000" w:sz="0" w:space="23"/>
          <w:right w:val="none" w:color="000000" w:sz="0" w:space="0"/>
        </w:pBdr>
        <w:autoSpaceDE w:val="0"/>
        <w:autoSpaceDN w:val="0"/>
        <w:adjustRightInd/>
        <w:snapToGrid w:val="0"/>
        <w:spacing w:beforeLines="0" w:afterLines="0" w:line="560" w:lineRule="exact"/>
        <w:ind w:firstLine="640"/>
        <w:contextualSpacing/>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四、砂石土余渣根据余渣量大小采取不同的方式分类处置：</w:t>
      </w:r>
    </w:p>
    <w:tbl>
      <w:tblPr>
        <w:tblStyle w:val="7"/>
        <w:tblW w:w="0" w:type="auto"/>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995"/>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80" w:type="dxa"/>
            <w:noWrap w:val="0"/>
            <w:vAlign w:val="center"/>
          </w:tcPr>
          <w:p>
            <w:pPr>
              <w:pStyle w:val="3"/>
              <w:adjustRightInd w:val="0"/>
              <w:snapToGrid w:val="0"/>
              <w:spacing w:line="240" w:lineRule="exact"/>
              <w:ind w:right="17"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1995" w:type="dxa"/>
            <w:noWrap w:val="0"/>
            <w:vAlign w:val="center"/>
          </w:tcPr>
          <w:p>
            <w:pPr>
              <w:pStyle w:val="3"/>
              <w:adjustRightInd w:val="0"/>
              <w:snapToGrid w:val="0"/>
              <w:ind w:right="17" w:firstLine="0" w:firstLineChars="0"/>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分类</w:t>
            </w:r>
          </w:p>
        </w:tc>
        <w:tc>
          <w:tcPr>
            <w:tcW w:w="6975" w:type="dxa"/>
            <w:noWrap w:val="0"/>
            <w:vAlign w:val="center"/>
          </w:tcPr>
          <w:p>
            <w:pPr>
              <w:pStyle w:val="3"/>
              <w:adjustRightInd w:val="0"/>
              <w:snapToGrid w:val="0"/>
              <w:ind w:right="17" w:firstLine="0" w:firstLineChars="0"/>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pPr>
              <w:pStyle w:val="3"/>
              <w:adjustRightInd w:val="0"/>
              <w:snapToGrid w:val="0"/>
              <w:ind w:right="17"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995" w:type="dxa"/>
            <w:noWrap w:val="0"/>
            <w:vAlign w:val="center"/>
          </w:tcPr>
          <w:p>
            <w:pPr>
              <w:pStyle w:val="3"/>
              <w:adjustRightInd w:val="0"/>
              <w:snapToGrid w:val="0"/>
              <w:ind w:right="17"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砂、石、土</w:t>
            </w:r>
            <w:r>
              <w:rPr>
                <w:rFonts w:hint="eastAsia" w:ascii="仿宋" w:hAnsi="仿宋" w:eastAsia="仿宋" w:cs="仿宋"/>
                <w:color w:val="auto"/>
                <w:sz w:val="28"/>
                <w:szCs w:val="28"/>
                <w:highlight w:val="none"/>
              </w:rPr>
              <w:t>余渣量合计＜</w:t>
            </w:r>
            <w:r>
              <w:rPr>
                <w:rFonts w:hint="eastAsia" w:ascii="仿宋" w:hAnsi="仿宋" w:eastAsia="仿宋" w:cs="仿宋"/>
                <w:color w:val="auto"/>
                <w:sz w:val="28"/>
                <w:szCs w:val="28"/>
                <w:highlight w:val="none"/>
                <w:lang w:val="en-US" w:eastAsia="zh-CN"/>
              </w:rPr>
              <w:t>100</w:t>
            </w:r>
            <w:r>
              <w:rPr>
                <w:rFonts w:hint="eastAsia" w:ascii="仿宋" w:hAnsi="仿宋" w:eastAsia="仿宋" w:cs="仿宋"/>
                <w:color w:val="auto"/>
                <w:sz w:val="28"/>
                <w:szCs w:val="28"/>
                <w:highlight w:val="none"/>
              </w:rPr>
              <w:t>00m</w:t>
            </w:r>
            <w:r>
              <w:rPr>
                <w:rFonts w:hint="eastAsia" w:ascii="仿宋" w:hAnsi="仿宋" w:eastAsia="仿宋" w:cs="仿宋"/>
                <w:color w:val="auto"/>
                <w:sz w:val="28"/>
                <w:szCs w:val="28"/>
                <w:highlight w:val="none"/>
                <w:vertAlign w:val="superscript"/>
              </w:rPr>
              <w:t>3</w:t>
            </w:r>
          </w:p>
        </w:tc>
        <w:tc>
          <w:tcPr>
            <w:tcW w:w="6975" w:type="dxa"/>
            <w:noWrap w:val="0"/>
            <w:vAlign w:val="top"/>
          </w:tcPr>
          <w:p>
            <w:pPr>
              <w:pStyle w:val="3"/>
              <w:adjustRightInd w:val="0"/>
              <w:snapToGrid w:val="0"/>
              <w:ind w:right="17"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不计收</w:t>
            </w:r>
            <w:r>
              <w:rPr>
                <w:rFonts w:hint="eastAsia" w:ascii="仿宋" w:hAnsi="仿宋" w:eastAsia="仿宋" w:cs="仿宋"/>
                <w:color w:val="auto"/>
                <w:sz w:val="28"/>
                <w:szCs w:val="28"/>
                <w:highlight w:val="none"/>
                <w:lang w:eastAsia="zh-CN"/>
              </w:rPr>
              <w:t>砂石土余渣</w:t>
            </w:r>
            <w:r>
              <w:rPr>
                <w:rFonts w:hint="eastAsia" w:ascii="仿宋" w:hAnsi="仿宋" w:eastAsia="仿宋" w:cs="仿宋"/>
                <w:color w:val="auto"/>
                <w:sz w:val="28"/>
                <w:szCs w:val="28"/>
                <w:highlight w:val="none"/>
              </w:rPr>
              <w:t>处置收益。</w:t>
            </w:r>
            <w:r>
              <w:rPr>
                <w:rFonts w:hint="eastAsia" w:ascii="仿宋" w:hAnsi="仿宋" w:eastAsia="仿宋" w:cs="仿宋"/>
                <w:color w:val="auto"/>
                <w:sz w:val="28"/>
                <w:szCs w:val="28"/>
                <w:highlight w:val="none"/>
                <w:lang w:eastAsia="zh-CN"/>
              </w:rPr>
              <w:t>砂石土余渣</w:t>
            </w:r>
            <w:r>
              <w:rPr>
                <w:rFonts w:hint="eastAsia" w:ascii="仿宋" w:hAnsi="仿宋" w:eastAsia="仿宋" w:cs="仿宋"/>
                <w:color w:val="auto"/>
                <w:sz w:val="28"/>
                <w:szCs w:val="28"/>
                <w:highlight w:val="none"/>
              </w:rPr>
              <w:t>由建设单位或</w:t>
            </w:r>
            <w:r>
              <w:rPr>
                <w:rFonts w:hint="eastAsia" w:ascii="仿宋" w:hAnsi="仿宋" w:eastAsia="仿宋" w:cs="仿宋"/>
                <w:color w:val="auto"/>
                <w:sz w:val="28"/>
                <w:szCs w:val="28"/>
                <w:highlight w:val="none"/>
                <w:lang w:eastAsia="zh-CN"/>
              </w:rPr>
              <w:t>施工</w:t>
            </w:r>
            <w:r>
              <w:rPr>
                <w:rFonts w:hint="eastAsia" w:ascii="仿宋" w:hAnsi="仿宋" w:eastAsia="仿宋" w:cs="仿宋"/>
                <w:color w:val="auto"/>
                <w:sz w:val="28"/>
                <w:szCs w:val="28"/>
                <w:highlight w:val="none"/>
              </w:rPr>
              <w:t>单位</w:t>
            </w:r>
            <w:r>
              <w:rPr>
                <w:rFonts w:hint="eastAsia" w:ascii="仿宋" w:hAnsi="仿宋" w:eastAsia="仿宋" w:cs="仿宋"/>
                <w:color w:val="auto"/>
                <w:sz w:val="28"/>
                <w:szCs w:val="28"/>
                <w:highlight w:val="none"/>
                <w:lang w:eastAsia="zh-CN"/>
              </w:rPr>
              <w:t>按施工合同有关约定</w:t>
            </w:r>
            <w:r>
              <w:rPr>
                <w:rFonts w:hint="eastAsia" w:ascii="仿宋" w:hAnsi="仿宋" w:eastAsia="仿宋" w:cs="仿宋"/>
                <w:color w:val="auto"/>
                <w:sz w:val="28"/>
                <w:szCs w:val="28"/>
                <w:highlight w:val="none"/>
              </w:rPr>
              <w:t>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pPr>
              <w:pStyle w:val="3"/>
              <w:adjustRightInd w:val="0"/>
              <w:snapToGrid w:val="0"/>
              <w:ind w:right="17"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995" w:type="dxa"/>
            <w:noWrap w:val="0"/>
            <w:vAlign w:val="center"/>
          </w:tcPr>
          <w:p>
            <w:pPr>
              <w:pStyle w:val="3"/>
              <w:adjustRightInd w:val="0"/>
              <w:snapToGrid w:val="0"/>
              <w:ind w:right="17"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100</w:t>
            </w:r>
            <w:r>
              <w:rPr>
                <w:rFonts w:hint="eastAsia" w:ascii="仿宋" w:hAnsi="仿宋" w:eastAsia="仿宋" w:cs="仿宋"/>
                <w:color w:val="auto"/>
                <w:sz w:val="28"/>
                <w:szCs w:val="28"/>
                <w:highlight w:val="none"/>
              </w:rPr>
              <w:t>00m</w:t>
            </w:r>
            <w:r>
              <w:rPr>
                <w:rFonts w:hint="eastAsia" w:ascii="仿宋" w:hAnsi="仿宋" w:eastAsia="仿宋" w:cs="仿宋"/>
                <w:color w:val="auto"/>
                <w:sz w:val="28"/>
                <w:szCs w:val="28"/>
                <w:highlight w:val="none"/>
                <w:vertAlign w:val="superscript"/>
              </w:rPr>
              <w:t>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砂、石、土</w:t>
            </w:r>
            <w:r>
              <w:rPr>
                <w:rFonts w:hint="eastAsia" w:ascii="仿宋" w:hAnsi="仿宋" w:eastAsia="仿宋" w:cs="仿宋"/>
                <w:color w:val="auto"/>
                <w:sz w:val="28"/>
                <w:szCs w:val="28"/>
                <w:highlight w:val="none"/>
              </w:rPr>
              <w:t>余渣量合计＜</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0000m</w:t>
            </w:r>
            <w:r>
              <w:rPr>
                <w:rFonts w:hint="eastAsia" w:ascii="仿宋" w:hAnsi="仿宋" w:eastAsia="仿宋" w:cs="仿宋"/>
                <w:color w:val="auto"/>
                <w:sz w:val="28"/>
                <w:szCs w:val="28"/>
                <w:highlight w:val="none"/>
                <w:vertAlign w:val="superscript"/>
              </w:rPr>
              <w:t>3</w:t>
            </w:r>
          </w:p>
        </w:tc>
        <w:tc>
          <w:tcPr>
            <w:tcW w:w="6975" w:type="dxa"/>
            <w:noWrap w:val="0"/>
            <w:vAlign w:val="top"/>
          </w:tcPr>
          <w:p>
            <w:pPr>
              <w:pStyle w:val="3"/>
              <w:adjustRightInd w:val="0"/>
              <w:snapToGrid w:val="0"/>
              <w:ind w:right="17" w:firstLine="0" w:firstLineChars="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可参考评估价确定销售底价，在县级以上公共资源交易平台公开销售砂石土余渣，竞得人取得砂石土余渣处置权。经首次公开销售未成交的，按首次销售底价的90%作为销售底价再次组织公开销售，若第二次公开销售仍未成交的，由建设单位提出处置方案报工程建设项目主管部门研究确定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pPr>
              <w:pStyle w:val="3"/>
              <w:adjustRightInd w:val="0"/>
              <w:snapToGrid w:val="0"/>
              <w:ind w:right="17"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995" w:type="dxa"/>
            <w:noWrap w:val="0"/>
            <w:vAlign w:val="center"/>
          </w:tcPr>
          <w:p>
            <w:pPr>
              <w:pStyle w:val="3"/>
              <w:adjustRightInd w:val="0"/>
              <w:snapToGrid w:val="0"/>
              <w:ind w:right="17"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砂、石、土</w:t>
            </w:r>
            <w:r>
              <w:rPr>
                <w:rFonts w:hint="eastAsia" w:ascii="仿宋" w:hAnsi="仿宋" w:eastAsia="仿宋" w:cs="仿宋"/>
                <w:color w:val="auto"/>
                <w:sz w:val="28"/>
                <w:szCs w:val="28"/>
                <w:highlight w:val="none"/>
              </w:rPr>
              <w:t>余渣量合计≥</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0000m</w:t>
            </w:r>
            <w:r>
              <w:rPr>
                <w:rFonts w:hint="eastAsia" w:ascii="仿宋" w:hAnsi="仿宋" w:eastAsia="仿宋" w:cs="仿宋"/>
                <w:color w:val="auto"/>
                <w:sz w:val="28"/>
                <w:szCs w:val="28"/>
                <w:highlight w:val="none"/>
                <w:vertAlign w:val="superscript"/>
              </w:rPr>
              <w:t>3</w:t>
            </w:r>
          </w:p>
        </w:tc>
        <w:tc>
          <w:tcPr>
            <w:tcW w:w="6975" w:type="dxa"/>
            <w:noWrap w:val="0"/>
            <w:vAlign w:val="center"/>
          </w:tcPr>
          <w:p>
            <w:pPr>
              <w:pStyle w:val="3"/>
              <w:adjustRightInd w:val="0"/>
              <w:snapToGrid w:val="0"/>
              <w:ind w:right="17" w:firstLine="0" w:firstLine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原则上采取公开销售</w:t>
            </w:r>
            <w:r>
              <w:rPr>
                <w:rFonts w:hint="eastAsia" w:ascii="仿宋" w:hAnsi="仿宋" w:eastAsia="仿宋" w:cs="仿宋"/>
                <w:color w:val="auto"/>
                <w:sz w:val="28"/>
                <w:szCs w:val="28"/>
                <w:highlight w:val="none"/>
                <w:lang w:val="en-US" w:eastAsia="zh-CN"/>
              </w:rPr>
              <w:t>方式</w:t>
            </w:r>
            <w:r>
              <w:rPr>
                <w:rFonts w:hint="eastAsia" w:ascii="仿宋" w:hAnsi="仿宋" w:eastAsia="仿宋" w:cs="仿宋"/>
                <w:color w:val="auto"/>
                <w:sz w:val="28"/>
                <w:szCs w:val="28"/>
                <w:highlight w:val="none"/>
              </w:rPr>
              <w:t>处置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参考评估价确定销售底价，</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县级</w:t>
            </w:r>
            <w:r>
              <w:rPr>
                <w:rFonts w:hint="eastAsia" w:ascii="仿宋" w:hAnsi="仿宋" w:eastAsia="仿宋" w:cs="仿宋"/>
                <w:color w:val="auto"/>
                <w:sz w:val="28"/>
                <w:szCs w:val="28"/>
                <w:highlight w:val="none"/>
              </w:rPr>
              <w:t>以上公共资源交易平台公开销售</w:t>
            </w:r>
            <w:r>
              <w:rPr>
                <w:rFonts w:hint="eastAsia" w:ascii="仿宋" w:hAnsi="仿宋" w:eastAsia="仿宋" w:cs="仿宋"/>
                <w:color w:val="auto"/>
                <w:sz w:val="28"/>
                <w:szCs w:val="28"/>
                <w:highlight w:val="none"/>
                <w:lang w:val="en-US" w:eastAsia="zh-CN"/>
              </w:rPr>
              <w:t>砂石土余渣，竞得人取得砂石土余渣处置权</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经首次公开销售未成交的，按首次销售底价的90%作为销售底价再次组织公开销售，若第二次公开销售仍未成交的，由建设单位提出处置方案报工程建设项目主管部门研究确定处置方式。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pPr>
              <w:pStyle w:val="3"/>
              <w:adjustRightInd w:val="0"/>
              <w:snapToGrid w:val="0"/>
              <w:ind w:right="17"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8970" w:type="dxa"/>
            <w:gridSpan w:val="2"/>
            <w:noWrap w:val="0"/>
            <w:vAlign w:val="top"/>
          </w:tcPr>
          <w:p>
            <w:pPr>
              <w:pStyle w:val="3"/>
              <w:adjustRightInd w:val="0"/>
              <w:snapToGrid w:val="0"/>
              <w:ind w:right="17" w:firstLine="0" w:firstLineChars="0"/>
              <w:rPr>
                <w:rFonts w:hint="eastAsia" w:ascii="仿宋" w:hAnsi="仿宋" w:eastAsia="仿宋" w:cs="仿宋"/>
                <w:color w:val="auto"/>
                <w:sz w:val="28"/>
                <w:szCs w:val="28"/>
                <w:highlight w:val="none"/>
                <w:lang w:eastAsia="zh-CN"/>
              </w:rPr>
            </w:pPr>
            <w:r>
              <w:rPr>
                <w:rFonts w:hint="eastAsia" w:ascii="仿宋" w:hAnsi="仿宋" w:eastAsia="仿宋" w:cs="仿宋"/>
                <w:b/>
                <w:color w:val="auto"/>
                <w:sz w:val="28"/>
                <w:szCs w:val="28"/>
                <w:highlight w:val="none"/>
              </w:rPr>
              <w:t>其他</w:t>
            </w:r>
            <w:r>
              <w:rPr>
                <w:rFonts w:hint="eastAsia" w:ascii="仿宋" w:hAnsi="仿宋" w:eastAsia="仿宋" w:cs="仿宋"/>
                <w:b/>
                <w:color w:val="auto"/>
                <w:sz w:val="28"/>
                <w:szCs w:val="28"/>
                <w:highlight w:val="none"/>
                <w:lang w:eastAsia="zh-CN"/>
              </w:rPr>
              <w:t>处置方式</w:t>
            </w:r>
            <w:r>
              <w:rPr>
                <w:rFonts w:hint="eastAsia" w:ascii="仿宋" w:hAnsi="仿宋" w:eastAsia="仿宋" w:cs="仿宋"/>
                <w:b/>
                <w:color w:val="auto"/>
                <w:sz w:val="28"/>
                <w:szCs w:val="28"/>
                <w:highlight w:val="none"/>
              </w:rPr>
              <w:t>:</w:t>
            </w:r>
            <w:r>
              <w:rPr>
                <w:rFonts w:hint="eastAsia" w:ascii="仿宋" w:hAnsi="仿宋" w:eastAsia="仿宋" w:cs="仿宋"/>
                <w:color w:val="auto"/>
                <w:sz w:val="28"/>
                <w:szCs w:val="28"/>
                <w:highlight w:val="none"/>
              </w:rPr>
              <w:t>政府实施的土地整备、公益性基础建设等重大项目确需统筹利用工程建设项目</w:t>
            </w:r>
            <w:r>
              <w:rPr>
                <w:rFonts w:hint="eastAsia" w:ascii="仿宋" w:hAnsi="仿宋" w:eastAsia="仿宋" w:cs="仿宋"/>
                <w:color w:val="auto"/>
                <w:sz w:val="28"/>
                <w:szCs w:val="28"/>
                <w:highlight w:val="none"/>
                <w:lang w:eastAsia="zh-CN"/>
              </w:rPr>
              <w:t>砂石土余渣</w:t>
            </w:r>
            <w:r>
              <w:rPr>
                <w:rFonts w:hint="eastAsia" w:ascii="仿宋" w:hAnsi="仿宋" w:eastAsia="仿宋" w:cs="仿宋"/>
                <w:color w:val="auto"/>
                <w:sz w:val="28"/>
                <w:szCs w:val="28"/>
                <w:highlight w:val="none"/>
              </w:rPr>
              <w:t>的，各</w:t>
            </w:r>
            <w:r>
              <w:rPr>
                <w:rFonts w:hint="eastAsia" w:ascii="仿宋" w:hAnsi="仿宋" w:eastAsia="仿宋" w:cs="仿宋"/>
                <w:color w:val="auto"/>
                <w:sz w:val="28"/>
                <w:szCs w:val="28"/>
                <w:highlight w:val="none"/>
                <w:lang w:eastAsia="zh-CN"/>
              </w:rPr>
              <w:t>县（市、区）政府</w:t>
            </w:r>
            <w:r>
              <w:rPr>
                <w:rFonts w:hint="eastAsia" w:ascii="仿宋" w:hAnsi="仿宋" w:eastAsia="仿宋" w:cs="仿宋"/>
                <w:color w:val="auto"/>
                <w:sz w:val="28"/>
                <w:szCs w:val="28"/>
                <w:highlight w:val="none"/>
              </w:rPr>
              <w:t>（管委会）应坚持科学统筹的原则，可不采取公开销售、不按评估价核计处置收益的方式处置</w:t>
            </w:r>
            <w:r>
              <w:rPr>
                <w:rFonts w:hint="eastAsia" w:ascii="仿宋" w:hAnsi="仿宋" w:eastAsia="仿宋" w:cs="仿宋"/>
                <w:color w:val="auto"/>
                <w:sz w:val="28"/>
                <w:szCs w:val="28"/>
                <w:highlight w:val="none"/>
                <w:lang w:eastAsia="zh-CN"/>
              </w:rPr>
              <w:t>砂石土余渣</w:t>
            </w:r>
            <w:r>
              <w:rPr>
                <w:rFonts w:hint="eastAsia" w:ascii="仿宋" w:hAnsi="仿宋" w:eastAsia="仿宋" w:cs="仿宋"/>
                <w:color w:val="auto"/>
                <w:sz w:val="28"/>
                <w:szCs w:val="28"/>
                <w:highlight w:val="none"/>
              </w:rPr>
              <w:t>，经各</w:t>
            </w:r>
            <w:r>
              <w:rPr>
                <w:rFonts w:hint="eastAsia" w:ascii="仿宋" w:hAnsi="仿宋" w:eastAsia="仿宋" w:cs="仿宋"/>
                <w:color w:val="auto"/>
                <w:sz w:val="28"/>
                <w:szCs w:val="28"/>
                <w:highlight w:val="none"/>
                <w:lang w:eastAsia="zh-CN"/>
              </w:rPr>
              <w:t>县（市、区）政府</w:t>
            </w:r>
            <w:r>
              <w:rPr>
                <w:rFonts w:hint="eastAsia" w:ascii="仿宋" w:hAnsi="仿宋" w:eastAsia="仿宋" w:cs="仿宋"/>
                <w:color w:val="auto"/>
                <w:sz w:val="28"/>
                <w:szCs w:val="28"/>
                <w:highlight w:val="none"/>
              </w:rPr>
              <w:t>（管委会）和</w:t>
            </w:r>
            <w:r>
              <w:rPr>
                <w:rFonts w:hint="eastAsia" w:ascii="仿宋" w:hAnsi="仿宋" w:eastAsia="仿宋" w:cs="仿宋"/>
                <w:color w:val="auto"/>
                <w:sz w:val="28"/>
                <w:szCs w:val="28"/>
                <w:highlight w:val="none"/>
                <w:lang w:eastAsia="zh-CN"/>
              </w:rPr>
              <w:t>工程</w:t>
            </w:r>
            <w:r>
              <w:rPr>
                <w:rFonts w:hint="eastAsia" w:ascii="仿宋" w:hAnsi="仿宋" w:eastAsia="仿宋" w:cs="仿宋"/>
                <w:color w:val="auto"/>
                <w:sz w:val="28"/>
                <w:szCs w:val="28"/>
                <w:highlight w:val="none"/>
              </w:rPr>
              <w:t>建设项目主管部门同意后，由</w:t>
            </w:r>
            <w:r>
              <w:rPr>
                <w:rFonts w:hint="eastAsia" w:ascii="仿宋" w:hAnsi="仿宋" w:eastAsia="仿宋" w:cs="仿宋"/>
                <w:color w:val="auto"/>
                <w:sz w:val="28"/>
                <w:szCs w:val="28"/>
                <w:highlight w:val="none"/>
                <w:lang w:eastAsia="zh-CN"/>
              </w:rPr>
              <w:t>政府指定的</w:t>
            </w:r>
            <w:r>
              <w:rPr>
                <w:rFonts w:hint="eastAsia" w:ascii="仿宋" w:hAnsi="仿宋" w:eastAsia="仿宋" w:cs="仿宋"/>
                <w:color w:val="auto"/>
                <w:sz w:val="28"/>
                <w:szCs w:val="28"/>
                <w:highlight w:val="none"/>
              </w:rPr>
              <w:t>单位将有关</w:t>
            </w:r>
            <w:r>
              <w:rPr>
                <w:rFonts w:hint="eastAsia" w:ascii="仿宋" w:hAnsi="仿宋" w:eastAsia="仿宋" w:cs="仿宋"/>
                <w:color w:val="auto"/>
                <w:sz w:val="28"/>
                <w:szCs w:val="28"/>
                <w:highlight w:val="none"/>
                <w:lang w:eastAsia="zh-CN"/>
              </w:rPr>
              <w:t>砂石土余渣运至特定</w:t>
            </w:r>
            <w:r>
              <w:rPr>
                <w:rFonts w:hint="eastAsia" w:ascii="仿宋" w:hAnsi="仿宋" w:eastAsia="仿宋" w:cs="仿宋"/>
                <w:color w:val="auto"/>
                <w:sz w:val="28"/>
                <w:szCs w:val="28"/>
                <w:highlight w:val="none"/>
              </w:rPr>
              <w:t>区域</w:t>
            </w:r>
            <w:r>
              <w:rPr>
                <w:rFonts w:hint="eastAsia" w:ascii="仿宋" w:hAnsi="仿宋" w:eastAsia="仿宋" w:cs="仿宋"/>
                <w:color w:val="auto"/>
                <w:sz w:val="28"/>
                <w:szCs w:val="28"/>
                <w:highlight w:val="none"/>
                <w:lang w:eastAsia="zh-CN"/>
              </w:rPr>
              <w:t>。</w:t>
            </w:r>
          </w:p>
        </w:tc>
      </w:tr>
    </w:tbl>
    <w:p>
      <w:pPr>
        <w:autoSpaceDE w:val="0"/>
        <w:autoSpaceDN w:val="0"/>
        <w:adjustRightInd w:val="0"/>
        <w:snapToGrid w:val="0"/>
        <w:spacing w:beforeLines="0" w:afterLines="0" w:line="579" w:lineRule="exact"/>
        <w:ind w:firstLine="645"/>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五、砂石土余渣处置收益由</w:t>
      </w:r>
      <w:r>
        <w:rPr>
          <w:rFonts w:hint="eastAsia" w:ascii="仿宋" w:hAnsi="仿宋" w:eastAsia="仿宋" w:cs="仿宋"/>
          <w:color w:val="auto"/>
          <w:sz w:val="32"/>
          <w:szCs w:val="32"/>
          <w:highlight w:val="none"/>
        </w:rPr>
        <w:t>工程建设项目主管</w:t>
      </w:r>
      <w:r>
        <w:rPr>
          <w:rFonts w:hint="eastAsia" w:ascii="仿宋" w:hAnsi="仿宋" w:eastAsia="仿宋" w:cs="仿宋"/>
          <w:color w:val="auto"/>
          <w:sz w:val="32"/>
          <w:szCs w:val="32"/>
          <w:highlight w:val="none"/>
          <w:lang w:eastAsia="zh-CN"/>
        </w:rPr>
        <w:t>部门作为执收单位并负责征收，并</w:t>
      </w:r>
      <w:r>
        <w:rPr>
          <w:rFonts w:hint="eastAsia" w:ascii="仿宋" w:hAnsi="仿宋" w:eastAsia="仿宋" w:cs="仿宋"/>
          <w:color w:val="auto"/>
          <w:sz w:val="32"/>
          <w:szCs w:val="32"/>
          <w:highlight w:val="none"/>
          <w:lang w:val="en-US" w:eastAsia="zh-CN"/>
        </w:rPr>
        <w:t>按以下原则进行：</w:t>
      </w:r>
    </w:p>
    <w:p>
      <w:pPr>
        <w:autoSpaceDE w:val="0"/>
        <w:autoSpaceDN w:val="0"/>
        <w:adjustRightInd w:val="0"/>
        <w:snapToGrid w:val="0"/>
        <w:spacing w:beforeLines="0" w:afterLines="0" w:line="579" w:lineRule="exact"/>
        <w:ind w:firstLine="645"/>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（一）砂石土余渣以公开销售方式处置的，砂石土余渣处置收益由砂石土余渣竞得人负责缴交。</w:t>
      </w:r>
    </w:p>
    <w:p>
      <w:pPr>
        <w:autoSpaceDE w:val="0"/>
        <w:autoSpaceDN w:val="0"/>
        <w:adjustRightInd w:val="0"/>
        <w:snapToGrid w:val="0"/>
        <w:spacing w:beforeLines="0" w:afterLines="0" w:line="579" w:lineRule="exact"/>
        <w:ind w:firstLine="645"/>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（二）砂石土余渣以评估价计收处置收益的，砂石土余渣处置收益由建设或施工等单位负责缴交。</w:t>
      </w:r>
    </w:p>
    <w:p>
      <w:pPr>
        <w:autoSpaceDE w:val="0"/>
        <w:autoSpaceDN w:val="0"/>
        <w:adjustRightInd w:val="0"/>
        <w:snapToGrid w:val="0"/>
        <w:spacing w:beforeLines="0" w:afterLines="0" w:line="579" w:lineRule="exact"/>
        <w:ind w:firstLine="645"/>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六、砂石土余渣处置收益按照以下方式进行分配：</w:t>
      </w:r>
    </w:p>
    <w:p>
      <w:pPr>
        <w:autoSpaceDE w:val="0"/>
        <w:autoSpaceDN w:val="0"/>
        <w:adjustRightInd w:val="0"/>
        <w:snapToGrid w:val="0"/>
        <w:spacing w:beforeLines="0" w:afterLines="0" w:line="579" w:lineRule="exact"/>
        <w:ind w:firstLine="645"/>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（一）市级及以上财政、市级及以上国有企业投资部分的砂石土余渣处置收益归市财政。</w:t>
      </w:r>
    </w:p>
    <w:p>
      <w:pPr>
        <w:autoSpaceDE w:val="0"/>
        <w:autoSpaceDN w:val="0"/>
        <w:adjustRightInd w:val="0"/>
        <w:snapToGrid w:val="0"/>
        <w:spacing w:beforeLines="0" w:afterLines="0" w:line="579" w:lineRule="exact"/>
        <w:ind w:firstLine="645"/>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（二）市级以下财政、市级以下国有企业以及其他投资主体投资部分的砂石土余渣处置收益归工程建设项目所在地区财政。</w:t>
      </w:r>
    </w:p>
    <w:p>
      <w:pPr>
        <w:autoSpaceDE w:val="0"/>
        <w:autoSpaceDN w:val="0"/>
        <w:adjustRightInd w:val="0"/>
        <w:snapToGrid w:val="0"/>
        <w:spacing w:beforeLines="0" w:afterLines="0" w:line="579" w:lineRule="exact"/>
        <w:ind w:firstLine="645"/>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w:t>
      </w:r>
      <w:r>
        <w:rPr>
          <w:rFonts w:hint="eastAsia" w:ascii="仿宋" w:hAnsi="仿宋" w:eastAsia="仿宋" w:cs="仿宋"/>
          <w:color w:val="auto"/>
          <w:sz w:val="32"/>
          <w:szCs w:val="32"/>
          <w:highlight w:val="none"/>
          <w:lang w:eastAsia="zh-CN"/>
        </w:rPr>
        <w:t>取得砂石土余渣</w:t>
      </w:r>
      <w:r>
        <w:rPr>
          <w:rFonts w:hint="eastAsia" w:ascii="仿宋" w:hAnsi="仿宋" w:eastAsia="仿宋" w:cs="仿宋"/>
          <w:color w:val="auto"/>
          <w:sz w:val="32"/>
          <w:szCs w:val="32"/>
          <w:highlight w:val="none"/>
        </w:rPr>
        <w:t>处置</w:t>
      </w:r>
      <w:r>
        <w:rPr>
          <w:rFonts w:hint="eastAsia" w:ascii="仿宋" w:hAnsi="仿宋" w:eastAsia="仿宋" w:cs="仿宋"/>
          <w:color w:val="auto"/>
          <w:sz w:val="32"/>
          <w:szCs w:val="32"/>
          <w:highlight w:val="none"/>
          <w:lang w:eastAsia="zh-CN"/>
        </w:rPr>
        <w:t>权的砂石土余渣</w:t>
      </w:r>
      <w:r>
        <w:rPr>
          <w:rFonts w:hint="eastAsia" w:ascii="仿宋" w:hAnsi="仿宋" w:eastAsia="仿宋" w:cs="仿宋"/>
          <w:color w:val="auto"/>
          <w:sz w:val="32"/>
          <w:szCs w:val="32"/>
          <w:highlight w:val="none"/>
        </w:rPr>
        <w:t>竞得人、</w:t>
      </w:r>
      <w:r>
        <w:rPr>
          <w:rFonts w:hint="eastAsia" w:ascii="仿宋" w:hAnsi="仿宋" w:eastAsia="仿宋" w:cs="仿宋"/>
          <w:color w:val="auto"/>
          <w:sz w:val="32"/>
          <w:szCs w:val="32"/>
          <w:highlight w:val="none"/>
          <w:lang w:eastAsia="zh-CN"/>
        </w:rPr>
        <w:t>工程建设或</w:t>
      </w:r>
      <w:r>
        <w:rPr>
          <w:rFonts w:hint="eastAsia" w:ascii="仿宋" w:hAnsi="仿宋" w:eastAsia="仿宋" w:cs="仿宋"/>
          <w:color w:val="auto"/>
          <w:sz w:val="32"/>
          <w:szCs w:val="32"/>
          <w:highlight w:val="none"/>
        </w:rPr>
        <w:t>施工</w:t>
      </w:r>
      <w:r>
        <w:rPr>
          <w:rFonts w:hint="eastAsia" w:ascii="仿宋" w:hAnsi="仿宋" w:eastAsia="仿宋" w:cs="仿宋"/>
          <w:color w:val="auto"/>
          <w:sz w:val="32"/>
          <w:szCs w:val="32"/>
          <w:highlight w:val="none"/>
          <w:lang w:eastAsia="zh-CN"/>
        </w:rPr>
        <w:t>等</w:t>
      </w:r>
      <w:r>
        <w:rPr>
          <w:rFonts w:hint="eastAsia" w:ascii="仿宋" w:hAnsi="仿宋" w:eastAsia="仿宋" w:cs="仿宋"/>
          <w:color w:val="auto"/>
          <w:sz w:val="32"/>
          <w:szCs w:val="32"/>
          <w:highlight w:val="none"/>
        </w:rPr>
        <w:t>单位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不得在工程建设项目批准占地范围内搭建碎石生产线或砂石料加工场等</w:t>
      </w:r>
      <w:r>
        <w:rPr>
          <w:rFonts w:hint="eastAsia" w:ascii="仿宋" w:hAnsi="仿宋" w:eastAsia="仿宋" w:cs="仿宋"/>
          <w:color w:val="auto"/>
          <w:sz w:val="32"/>
          <w:szCs w:val="32"/>
          <w:highlight w:val="none"/>
          <w:lang w:eastAsia="zh-CN"/>
        </w:rPr>
        <w:t>。砂石土余渣须加工利用或临时堆放的，砂石土余渣</w:t>
      </w:r>
      <w:r>
        <w:rPr>
          <w:rFonts w:hint="eastAsia" w:ascii="仿宋" w:hAnsi="仿宋" w:eastAsia="仿宋" w:cs="仿宋"/>
          <w:color w:val="auto"/>
          <w:sz w:val="32"/>
          <w:szCs w:val="32"/>
          <w:highlight w:val="none"/>
        </w:rPr>
        <w:t>处置</w:t>
      </w:r>
      <w:r>
        <w:rPr>
          <w:rFonts w:hint="eastAsia" w:ascii="仿宋" w:hAnsi="仿宋" w:eastAsia="仿宋" w:cs="仿宋"/>
          <w:color w:val="auto"/>
          <w:sz w:val="32"/>
          <w:szCs w:val="32"/>
          <w:highlight w:val="none"/>
          <w:lang w:eastAsia="zh-CN"/>
        </w:rPr>
        <w:t>权利人应编制加工利用或临时堆放方案报环境卫生主管部门备案，</w:t>
      </w:r>
      <w:r>
        <w:rPr>
          <w:rFonts w:hint="eastAsia" w:ascii="仿宋" w:hAnsi="仿宋" w:eastAsia="仿宋" w:cs="仿宋"/>
          <w:color w:val="auto"/>
          <w:sz w:val="32"/>
          <w:szCs w:val="32"/>
          <w:highlight w:val="none"/>
        </w:rPr>
        <w:t>按规定办理用地审批</w:t>
      </w:r>
      <w:r>
        <w:rPr>
          <w:rFonts w:hint="eastAsia" w:ascii="仿宋" w:hAnsi="仿宋" w:eastAsia="仿宋" w:cs="仿宋"/>
          <w:color w:val="auto"/>
          <w:sz w:val="32"/>
          <w:szCs w:val="32"/>
          <w:highlight w:val="none"/>
          <w:lang w:eastAsia="zh-CN"/>
        </w:rPr>
        <w:t>等</w:t>
      </w:r>
      <w:r>
        <w:rPr>
          <w:rFonts w:hint="eastAsia" w:ascii="仿宋" w:hAnsi="仿宋" w:eastAsia="仿宋" w:cs="仿宋"/>
          <w:color w:val="auto"/>
          <w:sz w:val="32"/>
          <w:szCs w:val="32"/>
          <w:highlight w:val="none"/>
        </w:rPr>
        <w:t>手续</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做好安全、环保、水土保持等措施</w:t>
      </w:r>
      <w:r>
        <w:rPr>
          <w:rFonts w:hint="eastAsia" w:ascii="仿宋" w:hAnsi="仿宋" w:eastAsia="仿宋" w:cs="仿宋"/>
          <w:color w:val="auto"/>
          <w:sz w:val="32"/>
          <w:szCs w:val="32"/>
          <w:highlight w:val="none"/>
          <w:lang w:eastAsia="zh-CN"/>
        </w:rPr>
        <w:t>，并</w:t>
      </w:r>
      <w:r>
        <w:rPr>
          <w:rFonts w:hint="eastAsia" w:ascii="仿宋" w:hAnsi="仿宋" w:eastAsia="仿宋" w:cs="仿宋"/>
          <w:color w:val="auto"/>
          <w:sz w:val="32"/>
          <w:szCs w:val="32"/>
          <w:highlight w:val="none"/>
        </w:rPr>
        <w:t>主动接受相关部门的监管。</w:t>
      </w:r>
    </w:p>
    <w:p>
      <w:pPr>
        <w:autoSpaceDE w:val="0"/>
        <w:autoSpaceDN w:val="0"/>
        <w:adjustRightInd w:val="0"/>
        <w:snapToGrid w:val="0"/>
        <w:spacing w:beforeLines="0" w:afterLines="0" w:line="579" w:lineRule="exact"/>
        <w:ind w:firstLine="645"/>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八、加强</w:t>
      </w:r>
      <w:r>
        <w:rPr>
          <w:rFonts w:hint="eastAsia" w:ascii="仿宋" w:hAnsi="仿宋" w:eastAsia="仿宋" w:cs="仿宋"/>
          <w:color w:val="auto"/>
          <w:sz w:val="32"/>
          <w:szCs w:val="32"/>
          <w:highlight w:val="none"/>
          <w:lang w:eastAsia="zh-CN"/>
        </w:rPr>
        <w:t>砂石土余渣</w:t>
      </w:r>
      <w:r>
        <w:rPr>
          <w:rFonts w:hint="eastAsia" w:ascii="仿宋" w:hAnsi="仿宋" w:eastAsia="仿宋" w:cs="仿宋"/>
          <w:color w:val="auto"/>
          <w:sz w:val="32"/>
          <w:szCs w:val="32"/>
          <w:highlight w:val="none"/>
        </w:rPr>
        <w:t>利用管理，建设单位落实</w:t>
      </w:r>
      <w:r>
        <w:rPr>
          <w:rFonts w:hint="eastAsia" w:ascii="仿宋" w:hAnsi="仿宋" w:eastAsia="仿宋" w:cs="仿宋"/>
          <w:color w:val="auto"/>
          <w:sz w:val="32"/>
          <w:szCs w:val="32"/>
          <w:highlight w:val="none"/>
          <w:lang w:eastAsia="zh-CN"/>
        </w:rPr>
        <w:t>砂石土余渣</w:t>
      </w:r>
      <w:r>
        <w:rPr>
          <w:rFonts w:hint="eastAsia" w:ascii="仿宋" w:hAnsi="仿宋" w:eastAsia="仿宋" w:cs="仿宋"/>
          <w:color w:val="auto"/>
          <w:sz w:val="32"/>
          <w:szCs w:val="32"/>
          <w:highlight w:val="none"/>
        </w:rPr>
        <w:t>利用管理主体责任，工程建设项目主管部门落实监管责任，属地政府（管委会）按照“属地管理”原则落实属地管理责任，共同监督落实</w:t>
      </w:r>
      <w:r>
        <w:rPr>
          <w:rFonts w:hint="eastAsia" w:ascii="仿宋" w:hAnsi="仿宋" w:eastAsia="仿宋" w:cs="仿宋"/>
          <w:color w:val="auto"/>
          <w:sz w:val="32"/>
          <w:szCs w:val="32"/>
          <w:highlight w:val="none"/>
          <w:lang w:eastAsia="zh-CN"/>
        </w:rPr>
        <w:t>砂石土余渣</w:t>
      </w:r>
      <w:r>
        <w:rPr>
          <w:rFonts w:hint="eastAsia" w:ascii="仿宋" w:hAnsi="仿宋" w:eastAsia="仿宋" w:cs="仿宋"/>
          <w:color w:val="auto"/>
          <w:sz w:val="32"/>
          <w:szCs w:val="32"/>
          <w:highlight w:val="none"/>
        </w:rPr>
        <w:t>处置工作。对超出工程建设项目批准占地范围采挖</w:t>
      </w:r>
      <w:r>
        <w:rPr>
          <w:rFonts w:hint="eastAsia" w:ascii="仿宋" w:hAnsi="仿宋" w:eastAsia="仿宋" w:cs="仿宋"/>
          <w:color w:val="auto"/>
          <w:sz w:val="32"/>
          <w:szCs w:val="32"/>
          <w:highlight w:val="none"/>
          <w:lang w:eastAsia="zh-CN"/>
        </w:rPr>
        <w:t>砂、石、土</w:t>
      </w:r>
      <w:r>
        <w:rPr>
          <w:rFonts w:hint="eastAsia" w:ascii="仿宋" w:hAnsi="仿宋" w:eastAsia="仿宋" w:cs="仿宋"/>
          <w:color w:val="auto"/>
          <w:sz w:val="32"/>
          <w:szCs w:val="32"/>
          <w:highlight w:val="none"/>
        </w:rPr>
        <w:t>的，工程建设项目主管部门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建设单位</w:t>
      </w:r>
      <w:r>
        <w:rPr>
          <w:rFonts w:hint="eastAsia" w:ascii="仿宋" w:hAnsi="仿宋" w:eastAsia="仿宋" w:cs="仿宋"/>
          <w:color w:val="auto"/>
          <w:sz w:val="32"/>
          <w:szCs w:val="32"/>
          <w:highlight w:val="none"/>
          <w:lang w:val="en-US" w:eastAsia="zh-CN"/>
        </w:rPr>
        <w:t>和属地执法部门应当及时制止和责令恢复治理</w:t>
      </w:r>
      <w:r>
        <w:rPr>
          <w:rFonts w:hint="eastAsia" w:ascii="仿宋" w:hAnsi="仿宋" w:eastAsia="仿宋" w:cs="仿宋"/>
          <w:color w:val="auto"/>
          <w:sz w:val="32"/>
          <w:szCs w:val="32"/>
          <w:highlight w:val="none"/>
        </w:rPr>
        <w:t>，并将有关情况报告自然资源主管部门。</w:t>
      </w:r>
    </w:p>
    <w:p>
      <w:pPr>
        <w:autoSpaceDE w:val="0"/>
        <w:autoSpaceDN w:val="0"/>
        <w:adjustRightInd w:val="0"/>
        <w:snapToGrid w:val="0"/>
        <w:spacing w:beforeLines="0" w:afterLines="0" w:line="579" w:lineRule="exact"/>
        <w:ind w:firstLine="645"/>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九、工程建设项目建设</w:t>
      </w:r>
      <w:r>
        <w:rPr>
          <w:rFonts w:hint="eastAsia" w:ascii="仿宋" w:hAnsi="仿宋" w:eastAsia="仿宋" w:cs="仿宋"/>
          <w:color w:val="auto"/>
          <w:sz w:val="32"/>
          <w:szCs w:val="32"/>
          <w:highlight w:val="none"/>
          <w:lang w:eastAsia="zh-CN"/>
        </w:rPr>
        <w:t>（施工）等</w:t>
      </w:r>
      <w:r>
        <w:rPr>
          <w:rFonts w:hint="eastAsia" w:ascii="仿宋" w:hAnsi="仿宋" w:eastAsia="仿宋" w:cs="仿宋"/>
          <w:color w:val="auto"/>
          <w:sz w:val="32"/>
          <w:szCs w:val="32"/>
          <w:highlight w:val="none"/>
        </w:rPr>
        <w:t>单位或</w:t>
      </w:r>
      <w:r>
        <w:rPr>
          <w:rFonts w:hint="eastAsia" w:ascii="仿宋" w:hAnsi="仿宋" w:eastAsia="仿宋" w:cs="仿宋"/>
          <w:color w:val="auto"/>
          <w:sz w:val="32"/>
          <w:szCs w:val="32"/>
          <w:highlight w:val="none"/>
          <w:lang w:eastAsia="zh-CN"/>
        </w:rPr>
        <w:t>砂石土余渣</w:t>
      </w:r>
      <w:r>
        <w:rPr>
          <w:rFonts w:hint="eastAsia" w:ascii="仿宋" w:hAnsi="仿宋" w:eastAsia="仿宋" w:cs="仿宋"/>
          <w:color w:val="auto"/>
          <w:sz w:val="32"/>
          <w:szCs w:val="32"/>
          <w:highlight w:val="none"/>
        </w:rPr>
        <w:t>竞得人可以向属地</w:t>
      </w:r>
      <w:r>
        <w:rPr>
          <w:rFonts w:hint="eastAsia" w:ascii="仿宋" w:hAnsi="仿宋" w:eastAsia="仿宋" w:cs="仿宋"/>
          <w:color w:val="auto"/>
          <w:sz w:val="32"/>
          <w:szCs w:val="32"/>
          <w:highlight w:val="none"/>
          <w:lang w:eastAsia="zh-CN"/>
        </w:rPr>
        <w:t>县（市、区）政府</w:t>
      </w:r>
      <w:r>
        <w:rPr>
          <w:rFonts w:hint="eastAsia" w:ascii="仿宋" w:hAnsi="仿宋" w:eastAsia="仿宋" w:cs="仿宋"/>
          <w:color w:val="auto"/>
          <w:sz w:val="32"/>
          <w:szCs w:val="32"/>
          <w:highlight w:val="none"/>
        </w:rPr>
        <w:t>（管委会）申请将</w:t>
      </w:r>
      <w:r>
        <w:rPr>
          <w:rFonts w:hint="eastAsia" w:ascii="仿宋" w:hAnsi="仿宋" w:eastAsia="仿宋" w:cs="仿宋"/>
          <w:color w:val="auto"/>
          <w:sz w:val="32"/>
          <w:szCs w:val="32"/>
          <w:highlight w:val="none"/>
          <w:lang w:eastAsia="zh-CN"/>
        </w:rPr>
        <w:t>砂石土余渣</w:t>
      </w:r>
      <w:r>
        <w:rPr>
          <w:rFonts w:hint="eastAsia" w:ascii="仿宋" w:hAnsi="仿宋" w:eastAsia="仿宋" w:cs="仿宋"/>
          <w:color w:val="auto"/>
          <w:sz w:val="32"/>
          <w:szCs w:val="32"/>
          <w:highlight w:val="none"/>
        </w:rPr>
        <w:t>回填</w:t>
      </w:r>
      <w:r>
        <w:rPr>
          <w:rFonts w:hint="eastAsia" w:ascii="仿宋" w:hAnsi="仿宋" w:eastAsia="仿宋" w:cs="仿宋"/>
          <w:color w:val="auto"/>
          <w:sz w:val="32"/>
          <w:szCs w:val="32"/>
          <w:highlight w:val="none"/>
          <w:lang w:eastAsia="zh-CN"/>
        </w:rPr>
        <w:t>或堆放</w:t>
      </w:r>
      <w:r>
        <w:rPr>
          <w:rFonts w:hint="eastAsia" w:ascii="仿宋" w:hAnsi="仿宋" w:eastAsia="仿宋" w:cs="仿宋"/>
          <w:color w:val="auto"/>
          <w:sz w:val="32"/>
          <w:szCs w:val="32"/>
          <w:highlight w:val="none"/>
        </w:rPr>
        <w:t>至政府指定区域。</w:t>
      </w:r>
    </w:p>
    <w:p>
      <w:pPr>
        <w:autoSpaceDE w:val="0"/>
        <w:autoSpaceDN w:val="0"/>
        <w:adjustRightInd w:val="0"/>
        <w:snapToGrid w:val="0"/>
        <w:spacing w:beforeLines="0" w:afterLines="0" w:line="579" w:lineRule="exact"/>
        <w:ind w:firstLine="645"/>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十、</w:t>
      </w:r>
      <w:r>
        <w:rPr>
          <w:rFonts w:hint="eastAsia" w:ascii="仿宋" w:hAnsi="仿宋" w:eastAsia="仿宋" w:cs="仿宋"/>
          <w:color w:val="auto"/>
          <w:sz w:val="32"/>
          <w:szCs w:val="32"/>
          <w:highlight w:val="none"/>
        </w:rPr>
        <w:t>在本通知实施前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已动工</w:t>
      </w:r>
      <w:r>
        <w:rPr>
          <w:rFonts w:hint="eastAsia" w:ascii="仿宋" w:hAnsi="仿宋" w:eastAsia="仿宋" w:cs="仿宋"/>
          <w:color w:val="auto"/>
          <w:sz w:val="32"/>
          <w:szCs w:val="32"/>
          <w:highlight w:val="none"/>
          <w:lang w:val="en-US" w:eastAsia="zh-CN"/>
        </w:rPr>
        <w:t>涉及</w:t>
      </w:r>
      <w:r>
        <w:rPr>
          <w:rFonts w:hint="eastAsia" w:ascii="仿宋" w:hAnsi="仿宋" w:eastAsia="仿宋" w:cs="仿宋"/>
          <w:color w:val="auto"/>
          <w:sz w:val="32"/>
          <w:szCs w:val="32"/>
          <w:highlight w:val="none"/>
          <w:lang w:eastAsia="zh-CN"/>
        </w:rPr>
        <w:t>砂石土余渣</w:t>
      </w:r>
      <w:r>
        <w:rPr>
          <w:rFonts w:hint="eastAsia" w:ascii="仿宋" w:hAnsi="仿宋" w:eastAsia="仿宋" w:cs="仿宋"/>
          <w:color w:val="auto"/>
          <w:sz w:val="32"/>
          <w:szCs w:val="32"/>
          <w:highlight w:val="none"/>
          <w:lang w:val="en-US" w:eastAsia="zh-CN"/>
        </w:rPr>
        <w:t>的项目</w:t>
      </w:r>
      <w:r>
        <w:rPr>
          <w:rFonts w:hint="eastAsia" w:ascii="仿宋" w:hAnsi="仿宋" w:eastAsia="仿宋" w:cs="仿宋"/>
          <w:color w:val="auto"/>
          <w:sz w:val="32"/>
          <w:szCs w:val="32"/>
          <w:highlight w:val="none"/>
        </w:rPr>
        <w:t>，由建设单位自本通知实施之日起六个月内按“一事一议”原则</w:t>
      </w:r>
      <w:r>
        <w:rPr>
          <w:rFonts w:hint="eastAsia" w:ascii="仿宋" w:hAnsi="仿宋" w:eastAsia="仿宋" w:cs="仿宋"/>
          <w:color w:val="auto"/>
          <w:sz w:val="32"/>
          <w:szCs w:val="32"/>
          <w:highlight w:val="none"/>
          <w:lang w:eastAsia="zh-CN"/>
        </w:rPr>
        <w:t>编制处置方案</w:t>
      </w:r>
      <w:r>
        <w:rPr>
          <w:rFonts w:hint="eastAsia" w:ascii="仿宋" w:hAnsi="仿宋" w:eastAsia="仿宋" w:cs="仿宋"/>
          <w:color w:val="auto"/>
          <w:sz w:val="32"/>
          <w:szCs w:val="32"/>
          <w:highlight w:val="none"/>
        </w:rPr>
        <w:t>报工程建设项目主管部门</w:t>
      </w:r>
      <w:r>
        <w:rPr>
          <w:rFonts w:hint="eastAsia" w:ascii="仿宋" w:hAnsi="仿宋" w:eastAsia="仿宋" w:cs="仿宋"/>
          <w:color w:val="auto"/>
          <w:sz w:val="32"/>
          <w:szCs w:val="32"/>
          <w:highlight w:val="none"/>
          <w:lang w:eastAsia="zh-CN"/>
        </w:rPr>
        <w:t>审查后上报市政府审定</w:t>
      </w:r>
      <w:r>
        <w:rPr>
          <w:rFonts w:hint="eastAsia" w:ascii="仿宋" w:hAnsi="仿宋" w:eastAsia="仿宋" w:cs="仿宋"/>
          <w:color w:val="auto"/>
          <w:sz w:val="32"/>
          <w:szCs w:val="32"/>
          <w:highlight w:val="none"/>
        </w:rPr>
        <w:t>。</w:t>
      </w:r>
    </w:p>
    <w:p>
      <w:pPr>
        <w:autoSpaceDE w:val="0"/>
        <w:autoSpaceDN w:val="0"/>
        <w:adjustRightInd w:val="0"/>
        <w:snapToGrid w:val="0"/>
        <w:spacing w:beforeLines="0" w:afterLines="0" w:line="579" w:lineRule="exact"/>
        <w:ind w:firstLine="645"/>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十一、</w:t>
      </w:r>
      <w:r>
        <w:rPr>
          <w:rFonts w:hint="eastAsia" w:ascii="仿宋" w:hAnsi="仿宋" w:eastAsia="仿宋" w:cs="仿宋"/>
          <w:color w:val="auto"/>
          <w:sz w:val="32"/>
          <w:szCs w:val="32"/>
          <w:highlight w:val="none"/>
        </w:rPr>
        <w:t>本通知自印发之日起实施，有效期三年。</w:t>
      </w:r>
    </w:p>
    <w:p>
      <w:pPr>
        <w:autoSpaceDE w:val="0"/>
        <w:autoSpaceDN w:val="0"/>
        <w:adjustRightInd w:val="0"/>
        <w:snapToGrid w:val="0"/>
        <w:spacing w:beforeLines="0" w:afterLines="0" w:line="579" w:lineRule="exact"/>
        <w:ind w:firstLine="645"/>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w:t>
      </w:r>
      <w:r>
        <w:rPr>
          <w:rFonts w:hint="eastAsia" w:ascii="仿宋" w:hAnsi="仿宋" w:eastAsia="仿宋" w:cs="仿宋"/>
          <w:color w:val="auto"/>
          <w:sz w:val="32"/>
          <w:szCs w:val="32"/>
          <w:highlight w:val="none"/>
          <w:lang w:eastAsia="zh-CN"/>
        </w:rPr>
        <w:t>二</w:t>
      </w:r>
      <w:r>
        <w:rPr>
          <w:rFonts w:hint="eastAsia" w:ascii="仿宋" w:hAnsi="仿宋" w:eastAsia="仿宋" w:cs="仿宋"/>
          <w:color w:val="auto"/>
          <w:sz w:val="32"/>
          <w:szCs w:val="32"/>
          <w:highlight w:val="none"/>
        </w:rPr>
        <w:t>、本通知由市自然资源局负责解释。</w:t>
      </w:r>
    </w:p>
    <w:p>
      <w:pPr>
        <w:pBdr>
          <w:top w:val="none" w:color="000000" w:sz="0" w:space="0"/>
          <w:left w:val="none" w:color="000000" w:sz="0" w:space="0"/>
          <w:bottom w:val="none" w:color="000000" w:sz="0" w:space="23"/>
          <w:right w:val="none" w:color="000000" w:sz="0" w:space="0"/>
        </w:pBdr>
        <w:tabs>
          <w:tab w:val="left" w:pos="7584"/>
          <w:tab w:val="left" w:pos="7742"/>
        </w:tabs>
        <w:autoSpaceDE w:val="0"/>
        <w:autoSpaceDN w:val="0"/>
        <w:snapToGrid w:val="0"/>
        <w:spacing w:beforeLines="0" w:afterLines="0" w:line="579" w:lineRule="exact"/>
        <w:ind w:right="0" w:rightChars="0" w:firstLine="646"/>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 xml:space="preserve">  </w:t>
      </w:r>
    </w:p>
    <w:p>
      <w:pPr>
        <w:autoSpaceDE w:val="0"/>
        <w:autoSpaceDN w:val="0"/>
        <w:adjustRightInd w:val="0"/>
        <w:snapToGrid w:val="0"/>
        <w:spacing w:beforeLines="0" w:afterLines="0" w:line="579" w:lineRule="exact"/>
        <w:ind w:firstLine="645"/>
        <w:rPr>
          <w:rFonts w:hint="eastAsia" w:ascii="仿宋" w:hAnsi="仿宋" w:eastAsia="仿宋" w:cs="仿宋"/>
          <w:color w:val="auto"/>
          <w:sz w:val="32"/>
          <w:szCs w:val="32"/>
          <w:highlight w:val="none"/>
        </w:rPr>
      </w:pPr>
      <w:r>
        <w:rPr>
          <w:rFonts w:hint="eastAsia" w:ascii="仿宋" w:hAnsi="仿宋" w:eastAsia="仿宋" w:cs="仿宋"/>
          <w:b w:val="0"/>
          <w:bCs w:val="0"/>
          <w:color w:val="auto"/>
          <w:sz w:val="32"/>
          <w:szCs w:val="32"/>
          <w:highlight w:val="none"/>
          <w:lang w:val="en-US" w:eastAsia="zh-CN"/>
        </w:rPr>
        <w:t xml:space="preserve">                        </w:t>
      </w:r>
    </w:p>
    <w:p/>
    <w:sectPr>
      <w:footerReference r:id="rId3" w:type="default"/>
      <w:footerReference r:id="rId4" w:type="even"/>
      <w:pgSz w:w="11906" w:h="16838"/>
      <w:pgMar w:top="2041" w:right="1531" w:bottom="2041" w:left="1531" w:header="851" w:footer="1531" w:gutter="0"/>
      <w:pgNumType w:fmt="decimal"/>
      <w:cols w:space="720" w:num="1"/>
      <w:titlePg/>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5050790</wp:posOffset>
              </wp:positionH>
              <wp:positionV relativeFrom="paragraph">
                <wp:posOffset>47625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- 3 -</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97.7pt;margin-top:3.75pt;height:144pt;width:144pt;mso-position-horizontal-relative:margin;mso-wrap-style:none;z-index:251659264;mso-width-relative:page;mso-height-relative:page;" filled="f" stroked="f" coordsize="21600,21600" o:gfxdata="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NmJNjWAAAACgEAAA8AAAAAAAAAAQAgAAAAIgAAAGRycy9kb3du&#10;cmV2LnhtbFBLAQIUABQAAAAIAIdO4kDkov7PyAEAAJkDAAAOAAAAAAAAAAEAIAAAACUBAABkcnMv&#10;ZTJvRG9jLnhtbFBLBQYAAAAABgAGAFkBAABfBQAAAAA=&#10;">
              <v:fill on="f" focussize="0,0"/>
              <v:stroke on="f"/>
              <v:imagedata o:title=""/>
              <o:lock v:ext="edit" aspectratio="f"/>
              <v:textbox inset="0mm,0mm,0mm,0mm" style="mso-fit-shape-to-text:t;">
                <w:txbxContent>
                  <w:p>
                    <w:pPr>
                      <w:pStyle w:val="4"/>
                      <w:rPr>
                        <w:rFonts w:hint="default"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- 3 -</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- 2 -</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hint="default"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- 2 -</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1ZWY0YTY0NGIyMGEwN2RlNDkyOWU4Y2IyOGViMWEifQ=="/>
  </w:docVars>
  <w:rsids>
    <w:rsidRoot w:val="1C99599D"/>
    <w:rsid w:val="07D80409"/>
    <w:rsid w:val="1C99599D"/>
    <w:rsid w:val="1D20056C"/>
    <w:rsid w:val="21104B7A"/>
    <w:rsid w:val="23F15A29"/>
    <w:rsid w:val="36417DE6"/>
    <w:rsid w:val="40D804AB"/>
    <w:rsid w:val="475E676B"/>
    <w:rsid w:val="4E5C176B"/>
    <w:rsid w:val="4ECE0DE3"/>
    <w:rsid w:val="542125C2"/>
    <w:rsid w:val="6F0065A5"/>
    <w:rsid w:val="7BC62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Normal Indent"/>
    <w:basedOn w:val="1"/>
    <w:next w:val="1"/>
    <w:unhideWhenUsed/>
    <w:qFormat/>
    <w:uiPriority w:val="99"/>
    <w:pPr>
      <w:ind w:firstLine="420" w:firstLine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 Text First Indent 2"/>
    <w:basedOn w:val="10"/>
    <w:qFormat/>
    <w:uiPriority w:val="0"/>
    <w:pPr>
      <w:spacing w:line="360" w:lineRule="auto"/>
    </w:pPr>
    <w:rPr>
      <w:rFonts w:eastAsia="宋体"/>
      <w:sz w:val="24"/>
    </w:rPr>
  </w:style>
  <w:style w:type="paragraph" w:customStyle="1" w:styleId="10">
    <w:name w:val="Body Text Indent"/>
    <w:basedOn w:val="1"/>
    <w:qFormat/>
    <w:uiPriority w:val="0"/>
    <w:pPr>
      <w:spacing w:line="150" w:lineRule="atLeast"/>
      <w:ind w:firstLine="420" w:firstLineChars="200"/>
      <w:textAlignment w:val="baseline"/>
    </w:pPr>
  </w:style>
  <w:style w:type="paragraph" w:customStyle="1" w:styleId="11">
    <w:name w:val="Body text|1"/>
    <w:basedOn w:val="1"/>
    <w:qFormat/>
    <w:uiPriority w:val="0"/>
    <w:pPr>
      <w:spacing w:line="437" w:lineRule="auto"/>
      <w:ind w:firstLine="400"/>
    </w:pPr>
    <w:rPr>
      <w:rFonts w:ascii="宋体" w:hAnsi="宋体" w:eastAsia="宋体" w:cs="宋体"/>
      <w:sz w:val="28"/>
      <w:szCs w:val="28"/>
      <w:lang w:val="zh-TW" w:eastAsia="zh-TW" w:bidi="zh-TW"/>
    </w:rPr>
  </w:style>
  <w:style w:type="paragraph" w:customStyle="1" w:styleId="12">
    <w:name w:val="奇数页码"/>
    <w:basedOn w:val="4"/>
    <w:qFormat/>
    <w:uiPriority w:val="0"/>
    <w:pPr>
      <w:ind w:right="100" w:rightChars="100" w:firstLine="0" w:firstLineChars="0"/>
      <w:jc w:val="right"/>
    </w:pPr>
    <w:rPr>
      <w:rFonts w:ascii="宋体" w:hAnsi="宋体" w:eastAsia="宋体"/>
      <w:sz w:val="28"/>
      <w:szCs w:val="28"/>
    </w:rPr>
  </w:style>
  <w:style w:type="paragraph" w:customStyle="1" w:styleId="13">
    <w:name w:val="偶数页码"/>
    <w:basedOn w:val="4"/>
    <w:qFormat/>
    <w:uiPriority w:val="0"/>
    <w:pPr>
      <w:ind w:left="100" w:leftChars="100" w:firstLine="0" w:firstLineChars="0"/>
    </w:pPr>
    <w:rPr>
      <w:rFonts w:ascii="宋体" w:hAnsi="宋体" w:eastAsia="宋体"/>
      <w:sz w:val="28"/>
    </w:rPr>
  </w:style>
  <w:style w:type="paragraph" w:customStyle="1" w:styleId="14">
    <w:name w:val="基本样式"/>
    <w:qFormat/>
    <w:uiPriority w:val="0"/>
    <w:pPr>
      <w:spacing w:line="560" w:lineRule="exact"/>
      <w:contextualSpacing/>
    </w:pPr>
    <w:rPr>
      <w:rFonts w:ascii="仿宋" w:hAnsi="仿宋"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1950</Words>
  <Characters>1980</Characters>
  <Lines>0</Lines>
  <Paragraphs>0</Paragraphs>
  <TotalTime>3</TotalTime>
  <ScaleCrop>false</ScaleCrop>
  <LinksUpToDate>false</LinksUpToDate>
  <CharactersWithSpaces>2018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2022-10-17T07:47:00Z</dcterms:created>
  <dc:creator>。。。</dc:creator>
  <cp:lastModifiedBy>。。。</cp:lastModifiedBy>
  <dcterms:modified xsi:type="dcterms:W3CDTF">2022-10-31T02:01:28Z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F4E5D6DA304945E785ADBA8F0A618808</vt:lpwstr>
  </property>
</Properties>
</file>