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topLinePunct/>
        <w:autoSpaceDE w:val="0"/>
        <w:autoSpaceDN w:val="0"/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湛江市202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年度农村道路客运补贴资金</w:t>
      </w:r>
    </w:p>
    <w:p>
      <w:pPr>
        <w:topLinePunct/>
        <w:autoSpaceDE w:val="0"/>
        <w:autoSpaceDN w:val="0"/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分配方案</w:t>
      </w:r>
    </w:p>
    <w:p>
      <w:pPr>
        <w:pStyle w:val="7"/>
        <w:spacing w:line="60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bookmarkStart w:id="0" w:name="Body"/>
      <w:bookmarkEnd w:id="0"/>
    </w:p>
    <w:p>
      <w:pPr>
        <w:pStyle w:val="7"/>
        <w:spacing w:line="600" w:lineRule="exact"/>
        <w:ind w:firstLine="640" w:firstLineChars="200"/>
        <w:rPr>
          <w:rFonts w:ascii="黑体" w:hAnsi="仿宋" w:eastAsia="黑体"/>
          <w:bCs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根据《广东省财政厅</w:t>
      </w:r>
      <w:r>
        <w:rPr>
          <w:rFonts w:hint="eastAsia" w:ascii="仿宋_GB2312" w:hAnsi="宋体" w:eastAsia="仿宋_GB2312"/>
          <w:sz w:val="32"/>
          <w:szCs w:val="32"/>
        </w:rPr>
        <w:t>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提前</w:t>
      </w:r>
      <w:r>
        <w:rPr>
          <w:rFonts w:hint="eastAsia" w:ascii="仿宋_GB2312" w:hAnsi="宋体" w:eastAsia="仿宋_GB2312"/>
          <w:sz w:val="32"/>
          <w:szCs w:val="32"/>
        </w:rPr>
        <w:t>下达中央202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（清算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农村道路客运补贴资金、农村水路客运补贴资金、城市交通发展奖励资金的通知</w:t>
      </w:r>
      <w:r>
        <w:rPr>
          <w:rFonts w:hint="eastAsia" w:ascii="仿宋_GB2312" w:hAnsi="仿宋" w:eastAsia="仿宋_GB2312"/>
          <w:sz w:val="32"/>
          <w:szCs w:val="36"/>
        </w:rPr>
        <w:t>》（</w:t>
      </w:r>
      <w:r>
        <w:rPr>
          <w:rFonts w:hint="eastAsia" w:ascii="仿宋_GB2312" w:hAnsi="宋体" w:eastAsia="仿宋_GB2312"/>
          <w:sz w:val="32"/>
          <w:szCs w:val="32"/>
        </w:rPr>
        <w:t>粤财综〔2022〕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" w:eastAsia="仿宋_GB2312"/>
          <w:sz w:val="32"/>
          <w:szCs w:val="36"/>
        </w:rPr>
        <w:t>号，以下简称《通知》），我市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已拨付</w:t>
      </w:r>
      <w:r>
        <w:rPr>
          <w:rFonts w:hint="eastAsia" w:ascii="仿宋_GB2312" w:hAnsi="仿宋" w:eastAsia="仿宋_GB2312"/>
          <w:sz w:val="32"/>
          <w:szCs w:val="36"/>
        </w:rPr>
        <w:t>中央财政补贴及奖励资金为1211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6"/>
        </w:rPr>
        <w:t>2704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万</w:t>
      </w:r>
      <w:r>
        <w:rPr>
          <w:rFonts w:hint="eastAsia" w:ascii="仿宋_GB2312" w:hAnsi="仿宋" w:eastAsia="仿宋_GB2312"/>
          <w:sz w:val="32"/>
          <w:szCs w:val="36"/>
        </w:rPr>
        <w:t>元，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现结合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2022年度农村道路客运实际运营情况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，对预留</w:t>
      </w:r>
      <w:r>
        <w:rPr>
          <w:rFonts w:hint="eastAsia" w:ascii="仿宋_GB2312" w:hAnsi="仿宋" w:eastAsia="仿宋_GB2312"/>
          <w:sz w:val="32"/>
          <w:szCs w:val="36"/>
        </w:rPr>
        <w:t>农村道路客运费改税补贴资金的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30%</w:t>
      </w:r>
      <w:r>
        <w:rPr>
          <w:rFonts w:hint="eastAsia" w:ascii="仿宋_GB2312" w:hAnsi="仿宋" w:eastAsia="仿宋_GB2312"/>
          <w:sz w:val="32"/>
          <w:szCs w:val="36"/>
        </w:rPr>
        <w:t>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322.1517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万元）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和农村道路客运涨价补贴资金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（311.4552万元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）进行清算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，故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此次分配资金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合计为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633.6069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万元。方案说明如下：</w:t>
      </w:r>
    </w:p>
    <w:p>
      <w:pPr>
        <w:pStyle w:val="7"/>
        <w:spacing w:line="60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（一）《通知》中下达的农村道路客运补贴资金适用于202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6"/>
        </w:rPr>
        <w:t>年度农村道路客运车辆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（含镇通村农村客运车辆）</w:t>
      </w:r>
      <w:r>
        <w:rPr>
          <w:rFonts w:hint="eastAsia" w:ascii="仿宋_GB2312" w:hAnsi="仿宋" w:eastAsia="仿宋_GB2312"/>
          <w:sz w:val="32"/>
          <w:szCs w:val="36"/>
        </w:rPr>
        <w:t>的运营补助。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（二）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根据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申报年度内亡人事故情况设置车辆安全系数指标，即：未发生责任死亡事故车辆的安全系数为1；发生1至</w:t>
      </w:r>
      <w:r>
        <w:rPr>
          <w:rFonts w:hint="default" w:ascii="仿宋_GB2312" w:hAnsi="仿宋" w:eastAsia="仿宋_GB2312"/>
          <w:sz w:val="32"/>
          <w:szCs w:val="36"/>
          <w:lang w:val="en-US" w:eastAsia="zh-CN"/>
        </w:rPr>
        <w:t>2人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的责任死亡事故车辆的安全系数为0.5；发生</w:t>
      </w:r>
      <w:r>
        <w:rPr>
          <w:rFonts w:hint="default" w:ascii="仿宋_GB2312" w:hAnsi="仿宋" w:eastAsia="仿宋_GB2312"/>
          <w:sz w:val="32"/>
          <w:szCs w:val="36"/>
          <w:lang w:val="en-US" w:eastAsia="zh-CN"/>
        </w:rPr>
        <w:t>3人及以上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的责任死亡事故车辆的安全系数为0。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（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农村道路客运（含镇通村）运营补助按安全系数、车型系数和实际营运里程计算分配，即按各辖区计算值总数（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安全系数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*车型系数*实际运营里程）所占全市比例进行分配。农村道路客运车型系数：9座以下系数为1，10至19座系数为1.3，20至29座系数为1.5，30座以上系数为2。</w:t>
      </w:r>
    </w:p>
    <w:p>
      <w:pPr>
        <w:pStyle w:val="7"/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（四）镇通村农村客运车辆按以下系数分配：考核年度内车辆运营里程超过1.8万公里的镇通村农村客运车辆（车辆不分大小）系数为1，考核年度内车辆运营里程不满1.8万公里的镇通村农村客运车辆系数按实际运营里程占1.8万公里比例进行折算。</w:t>
      </w:r>
    </w:p>
    <w:p>
      <w:pPr>
        <w:pStyle w:val="7"/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（五）省交通运输厅分配</w:t>
      </w:r>
      <w:r>
        <w:rPr>
          <w:rFonts w:hint="eastAsia" w:ascii="仿宋_GB2312" w:hAnsi="仿宋" w:eastAsia="仿宋_GB2312"/>
          <w:sz w:val="32"/>
          <w:szCs w:val="36"/>
        </w:rPr>
        <w:t>农村道路客运涨价补贴资金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时，我市镇通村农村客运车辆数以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36辆在全省切块分配，但我市2022年度实际运营镇通村农村客运车辆数为31辆，故此次分配给镇通村的</w:t>
      </w:r>
      <w:r>
        <w:rPr>
          <w:rFonts w:hint="eastAsia" w:ascii="仿宋_GB2312" w:hAnsi="仿宋" w:eastAsia="仿宋_GB2312"/>
          <w:sz w:val="32"/>
          <w:szCs w:val="36"/>
        </w:rPr>
        <w:t>农村道路客运涨价补贴资金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268.1975万元。结合我市实际，剩余的</w:t>
      </w:r>
      <w:r>
        <w:rPr>
          <w:rFonts w:hint="eastAsia" w:ascii="仿宋_GB2312" w:hAnsi="仿宋" w:eastAsia="仿宋_GB2312"/>
          <w:sz w:val="32"/>
          <w:szCs w:val="36"/>
        </w:rPr>
        <w:t>农村道路客运涨价补贴资金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43.2577万元统筹分配到农村道路客运费改税补贴，按比例切分给所有符合补贴条件的农村道路客运车辆。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（六）</w:t>
      </w:r>
      <w:r>
        <w:rPr>
          <w:rFonts w:hint="eastAsia" w:ascii="仿宋_GB2312" w:hAnsi="仿宋"/>
          <w:szCs w:val="36"/>
        </w:rPr>
        <w:t>本方案计算数据</w:t>
      </w:r>
      <w:r>
        <w:rPr>
          <w:rFonts w:hint="eastAsia" w:ascii="仿宋_GB2312" w:hAnsi="仿宋"/>
          <w:szCs w:val="36"/>
          <w:lang w:eastAsia="zh-CN"/>
        </w:rPr>
        <w:t>为由运输企业申报提交，</w:t>
      </w:r>
      <w:r>
        <w:rPr>
          <w:rFonts w:hint="eastAsia" w:ascii="仿宋_GB2312" w:hAnsi="宋体" w:eastAsia="仿宋_GB2312"/>
          <w:szCs w:val="32"/>
          <w:lang w:val="en-US" w:eastAsia="zh-CN"/>
        </w:rPr>
        <w:t>经各县（市）交通运输</w:t>
      </w:r>
      <w:r>
        <w:rPr>
          <w:rFonts w:hint="eastAsia" w:ascii="仿宋_GB2312" w:hAnsi="宋体"/>
          <w:szCs w:val="32"/>
          <w:lang w:val="en-US" w:eastAsia="zh-CN"/>
        </w:rPr>
        <w:t>局</w:t>
      </w:r>
      <w:r>
        <w:rPr>
          <w:rFonts w:hint="eastAsia" w:ascii="仿宋_GB2312" w:hAnsi="宋体" w:eastAsia="仿宋_GB2312"/>
          <w:szCs w:val="32"/>
          <w:lang w:val="en-US" w:eastAsia="zh-CN"/>
        </w:rPr>
        <w:t>核准后上报的数据。</w:t>
      </w:r>
      <w:r>
        <w:rPr>
          <w:rFonts w:hint="eastAsia" w:ascii="仿宋_GB2312" w:hAnsi="宋体"/>
          <w:szCs w:val="32"/>
          <w:lang w:val="en-US" w:eastAsia="zh-CN"/>
        </w:rPr>
        <w:t>上报数据中，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农村道路客运年运营里程小于</w:t>
      </w:r>
      <w:r>
        <w:rPr>
          <w:rFonts w:hint="eastAsia" w:ascii="仿宋_GB2312" w:hAnsi="仿宋"/>
          <w:sz w:val="32"/>
          <w:szCs w:val="36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00公里的车辆</w:t>
      </w:r>
      <w:r>
        <w:rPr>
          <w:rFonts w:hint="eastAsia" w:ascii="仿宋_GB2312" w:hAnsi="仿宋"/>
          <w:sz w:val="32"/>
          <w:szCs w:val="36"/>
          <w:lang w:val="en-US" w:eastAsia="zh-CN"/>
        </w:rPr>
        <w:t>、不按农村线路行驶的车辆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不在补助范围内</w:t>
      </w:r>
      <w:r>
        <w:rPr>
          <w:rFonts w:hint="eastAsia" w:ascii="仿宋_GB2312" w:hAnsi="仿宋"/>
          <w:sz w:val="32"/>
          <w:szCs w:val="36"/>
          <w:lang w:val="en-US" w:eastAsia="zh-CN"/>
        </w:rPr>
        <w:t>，故实际补助车辆数为685辆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。</w:t>
      </w:r>
    </w:p>
    <w:p>
      <w:pPr>
        <w:pStyle w:val="7"/>
        <w:wordWrap w:val="0"/>
        <w:spacing w:line="560" w:lineRule="exact"/>
        <w:ind w:right="800"/>
        <w:rPr>
          <w:rFonts w:hint="eastAsia"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7"/>
        <w:wordWrap w:val="0"/>
        <w:spacing w:line="560" w:lineRule="exact"/>
        <w:ind w:right="800"/>
        <w:rPr>
          <w:rFonts w:hint="eastAsia"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7"/>
        <w:wordWrap w:val="0"/>
        <w:spacing w:line="560" w:lineRule="exact"/>
        <w:ind w:right="800"/>
        <w:rPr>
          <w:rFonts w:hint="eastAsia"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7"/>
        <w:wordWrap w:val="0"/>
        <w:spacing w:line="560" w:lineRule="exact"/>
        <w:ind w:right="800"/>
        <w:rPr>
          <w:rFonts w:hint="eastAsia"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7"/>
        <w:wordWrap w:val="0"/>
        <w:spacing w:line="560" w:lineRule="exact"/>
        <w:ind w:right="800"/>
        <w:rPr>
          <w:rFonts w:hint="eastAsia"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7"/>
        <w:wordWrap w:val="0"/>
        <w:spacing w:line="560" w:lineRule="exact"/>
        <w:ind w:right="800"/>
        <w:rPr>
          <w:rFonts w:ascii="仿宋_GB2312" w:hAnsi="宋体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附表1</w:t>
      </w:r>
    </w:p>
    <w:p>
      <w:pPr>
        <w:spacing w:line="560" w:lineRule="exact"/>
        <w:ind w:firstLine="320" w:firstLineChars="100"/>
        <w:jc w:val="center"/>
        <w:rPr>
          <w:rFonts w:hint="eastAsia" w:asciiTheme="minorEastAsia" w:hAnsiTheme="minorEastAsia" w:eastAsiaTheme="minorEastAsia" w:cstheme="minorEastAsia"/>
          <w:szCs w:val="36"/>
        </w:rPr>
      </w:pPr>
      <w:r>
        <w:rPr>
          <w:rFonts w:hint="eastAsia" w:asciiTheme="minorEastAsia" w:hAnsiTheme="minorEastAsia" w:eastAsiaTheme="minorEastAsia" w:cstheme="minorEastAsia"/>
          <w:szCs w:val="36"/>
        </w:rPr>
        <w:t>湛江市202</w:t>
      </w:r>
      <w:r>
        <w:rPr>
          <w:rFonts w:hint="eastAsia" w:asciiTheme="minorEastAsia" w:hAnsiTheme="minorEastAsia" w:eastAsiaTheme="minorEastAsia" w:cstheme="minorEastAsia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36"/>
        </w:rPr>
        <w:t>年度农村道路客运费改税补贴</w:t>
      </w:r>
      <w:r>
        <w:rPr>
          <w:rFonts w:hint="eastAsia" w:asciiTheme="minorEastAsia" w:hAnsiTheme="minorEastAsia" w:eastAsiaTheme="minorEastAsia" w:cstheme="minorEastAsia"/>
          <w:szCs w:val="36"/>
          <w:lang w:eastAsia="zh-CN"/>
        </w:rPr>
        <w:t>（含部分涨价补贴）</w:t>
      </w:r>
      <w:r>
        <w:rPr>
          <w:rFonts w:hint="eastAsia" w:asciiTheme="minorEastAsia" w:hAnsiTheme="minorEastAsia" w:eastAsiaTheme="minorEastAsia" w:cstheme="minorEastAsia"/>
          <w:szCs w:val="36"/>
        </w:rPr>
        <w:t>资金</w:t>
      </w:r>
      <w:r>
        <w:rPr>
          <w:rFonts w:hint="eastAsia" w:asciiTheme="minorEastAsia" w:hAnsiTheme="minorEastAsia" w:eastAsiaTheme="minorEastAsia" w:cstheme="minorEastAsia"/>
          <w:szCs w:val="36"/>
          <w:lang w:eastAsia="zh-CN"/>
        </w:rPr>
        <w:t>（第二批）</w:t>
      </w:r>
      <w:r>
        <w:rPr>
          <w:rFonts w:hint="eastAsia" w:asciiTheme="minorEastAsia" w:hAnsiTheme="minorEastAsia" w:eastAsiaTheme="minorEastAsia" w:cstheme="minorEastAsia"/>
          <w:szCs w:val="36"/>
        </w:rPr>
        <w:t>分配表</w:t>
      </w:r>
    </w:p>
    <w:p>
      <w:pPr>
        <w:spacing w:line="560" w:lineRule="exact"/>
        <w:ind w:firstLine="220" w:firstLineChars="100"/>
        <w:jc w:val="right"/>
        <w:rPr>
          <w:rFonts w:hint="eastAsia" w:asciiTheme="minorEastAsia" w:hAnsiTheme="minorEastAsia" w:eastAsiaTheme="minorEastAsia" w:cstheme="minorEastAsia"/>
          <w:color w:val="000000"/>
          <w:sz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制表日期202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日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23"/>
        <w:gridCol w:w="1576"/>
        <w:gridCol w:w="1388"/>
        <w:gridCol w:w="1388"/>
        <w:gridCol w:w="1218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修正后计算值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已拨付（元）</w:t>
            </w:r>
            <w:r>
              <w:rPr>
                <w:rFonts w:hint="eastAsia" w:ascii="东文宋体" w:hAnsi="东文宋体" w:eastAsia="东文宋体" w:cs="东文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应拨付（元）</w:t>
            </w:r>
            <w:r>
              <w:rPr>
                <w:rFonts w:hint="eastAsia" w:ascii="东文宋体" w:hAnsi="东文宋体" w:eastAsia="东文宋体" w:cs="东文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涨价补贴（元）</w:t>
            </w:r>
            <w:r>
              <w:rPr>
                <w:rFonts w:hint="eastAsia" w:ascii="东文宋体" w:hAnsi="东文宋体" w:eastAsia="东文宋体" w:cs="东文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本次拨付（元）=</w:t>
            </w:r>
            <w:r>
              <w:rPr>
                <w:rFonts w:hint="eastAsia" w:ascii="东文宋体" w:hAnsi="东文宋体" w:eastAsia="东文宋体" w:cs="东文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②-①+③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12933585.2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1614895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2303460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92791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17209008.08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2143996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3064909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123464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16873156.3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2102114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3005095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121055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5588696.86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698253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995342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40095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7690159.98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957642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1369611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55172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60294606.42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7516900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10738417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432577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3654094</w:t>
            </w:r>
          </w:p>
        </w:tc>
      </w:tr>
    </w:tbl>
    <w:p>
      <w:pPr>
        <w:spacing w:line="560" w:lineRule="exact"/>
        <w:ind w:firstLine="320" w:firstLineChars="100"/>
        <w:jc w:val="center"/>
        <w:rPr>
          <w:rFonts w:ascii="仿宋_GB2312" w:hAnsi="仿宋"/>
          <w:szCs w:val="36"/>
        </w:rPr>
      </w:pPr>
    </w:p>
    <w:p>
      <w:pPr>
        <w:spacing w:line="560" w:lineRule="exact"/>
        <w:ind w:firstLine="320" w:firstLineChars="100"/>
        <w:jc w:val="center"/>
        <w:rPr>
          <w:rFonts w:ascii="仿宋_GB2312" w:hAnsi="仿宋"/>
          <w:szCs w:val="36"/>
        </w:rPr>
      </w:pPr>
    </w:p>
    <w:p>
      <w:pPr>
        <w:rPr>
          <w:rFonts w:ascii="宋体" w:hAnsi="宋体" w:cs="Tahoma"/>
          <w:b/>
          <w:color w:val="000000"/>
          <w:spacing w:val="-20"/>
          <w:sz w:val="32"/>
          <w:szCs w:val="32"/>
        </w:rPr>
      </w:pPr>
      <w:r>
        <w:rPr>
          <w:rFonts w:ascii="宋体" w:hAnsi="宋体" w:cs="Tahoma"/>
          <w:b/>
          <w:color w:val="000000"/>
          <w:spacing w:val="-20"/>
          <w:sz w:val="32"/>
          <w:szCs w:val="32"/>
        </w:rPr>
        <w:br w:type="page"/>
      </w:r>
    </w:p>
    <w:p>
      <w:pPr>
        <w:pStyle w:val="7"/>
        <w:wordWrap w:val="0"/>
        <w:spacing w:line="560" w:lineRule="exact"/>
        <w:ind w:right="800"/>
        <w:rPr>
          <w:rFonts w:hint="eastAsia" w:ascii="仿宋_GB2312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</w:t>
      </w:r>
      <w:r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320" w:firstLineChars="100"/>
        <w:jc w:val="center"/>
        <w:rPr>
          <w:rFonts w:hint="eastAsia" w:asciiTheme="minorEastAsia" w:hAnsiTheme="minorEastAsia" w:eastAsiaTheme="minorEastAsia" w:cstheme="minorEastAsia"/>
          <w:szCs w:val="36"/>
        </w:rPr>
      </w:pPr>
      <w:r>
        <w:rPr>
          <w:rFonts w:hint="eastAsia" w:asciiTheme="minorEastAsia" w:hAnsiTheme="minorEastAsia" w:eastAsiaTheme="minorEastAsia" w:cstheme="minorEastAsia"/>
          <w:szCs w:val="36"/>
        </w:rPr>
        <w:t>湛江市202</w:t>
      </w:r>
      <w:r>
        <w:rPr>
          <w:rFonts w:hint="eastAsia" w:asciiTheme="minorEastAsia" w:hAnsiTheme="minorEastAsia" w:eastAsiaTheme="minorEastAsia" w:cstheme="minorEastAsia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36"/>
        </w:rPr>
        <w:t>年度农村道路客运</w:t>
      </w:r>
      <w:r>
        <w:rPr>
          <w:rFonts w:hint="eastAsia" w:asciiTheme="minorEastAsia" w:hAnsiTheme="minorEastAsia" w:eastAsiaTheme="minorEastAsia" w:cstheme="minorEastAsia"/>
          <w:szCs w:val="36"/>
          <w:lang w:eastAsia="zh-CN"/>
        </w:rPr>
        <w:t>涨价</w:t>
      </w:r>
      <w:r>
        <w:rPr>
          <w:rFonts w:hint="eastAsia" w:asciiTheme="minorEastAsia" w:hAnsiTheme="minorEastAsia" w:eastAsiaTheme="minorEastAsia" w:cstheme="minorEastAsia"/>
          <w:szCs w:val="36"/>
        </w:rPr>
        <w:t>补贴资金分配表</w:t>
      </w:r>
    </w:p>
    <w:p>
      <w:pPr>
        <w:spacing w:line="560" w:lineRule="exact"/>
        <w:ind w:firstLine="220" w:firstLineChars="100"/>
        <w:jc w:val="right"/>
        <w:rPr>
          <w:rFonts w:hint="eastAsia" w:asciiTheme="minorEastAsia" w:hAnsiTheme="minorEastAsia" w:eastAsiaTheme="minorEastAsia" w:cstheme="minorEastAsia"/>
          <w:color w:val="000000"/>
          <w:sz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制表日期202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日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1"/>
        <w:gridCol w:w="2607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镇通村车辆数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镇通村车辆计算值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6.87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7.96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19.83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2681975</w:t>
            </w:r>
          </w:p>
        </w:tc>
      </w:tr>
    </w:tbl>
    <w:p>
      <w:pPr>
        <w:widowControl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sectPr>
      <w:pgSz w:w="11906" w:h="16838"/>
      <w:pgMar w:top="1440" w:right="1416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68AA"/>
    <w:rsid w:val="0000660F"/>
    <w:rsid w:val="000209C5"/>
    <w:rsid w:val="000236B8"/>
    <w:rsid w:val="00025775"/>
    <w:rsid w:val="000257A5"/>
    <w:rsid w:val="00027C9D"/>
    <w:rsid w:val="000356E0"/>
    <w:rsid w:val="000465DD"/>
    <w:rsid w:val="00051997"/>
    <w:rsid w:val="0007141F"/>
    <w:rsid w:val="000714A8"/>
    <w:rsid w:val="00091A88"/>
    <w:rsid w:val="000A62DD"/>
    <w:rsid w:val="000A6C24"/>
    <w:rsid w:val="000A7546"/>
    <w:rsid w:val="000B1B25"/>
    <w:rsid w:val="000B602B"/>
    <w:rsid w:val="000C45D1"/>
    <w:rsid w:val="000D67C3"/>
    <w:rsid w:val="000E0A1B"/>
    <w:rsid w:val="000E24FD"/>
    <w:rsid w:val="000E68C7"/>
    <w:rsid w:val="000E71C9"/>
    <w:rsid w:val="0010055A"/>
    <w:rsid w:val="0010579D"/>
    <w:rsid w:val="0010759F"/>
    <w:rsid w:val="001118D3"/>
    <w:rsid w:val="0011352A"/>
    <w:rsid w:val="001146F2"/>
    <w:rsid w:val="00114EEE"/>
    <w:rsid w:val="0013223C"/>
    <w:rsid w:val="001413F2"/>
    <w:rsid w:val="00142A89"/>
    <w:rsid w:val="00164526"/>
    <w:rsid w:val="00166E62"/>
    <w:rsid w:val="0017113D"/>
    <w:rsid w:val="00180DE9"/>
    <w:rsid w:val="001940DB"/>
    <w:rsid w:val="00195142"/>
    <w:rsid w:val="001A076B"/>
    <w:rsid w:val="001A6E68"/>
    <w:rsid w:val="001B2E04"/>
    <w:rsid w:val="001C1CD6"/>
    <w:rsid w:val="001C7958"/>
    <w:rsid w:val="001D1675"/>
    <w:rsid w:val="001D182D"/>
    <w:rsid w:val="001D63A4"/>
    <w:rsid w:val="001D7DE9"/>
    <w:rsid w:val="001E0B88"/>
    <w:rsid w:val="001F36B8"/>
    <w:rsid w:val="002054DA"/>
    <w:rsid w:val="00212BA9"/>
    <w:rsid w:val="00213F4A"/>
    <w:rsid w:val="0022394A"/>
    <w:rsid w:val="0022698D"/>
    <w:rsid w:val="00231815"/>
    <w:rsid w:val="00236F0C"/>
    <w:rsid w:val="00242EE7"/>
    <w:rsid w:val="002436A3"/>
    <w:rsid w:val="00243BF0"/>
    <w:rsid w:val="00245C25"/>
    <w:rsid w:val="00247302"/>
    <w:rsid w:val="0024796E"/>
    <w:rsid w:val="0026418F"/>
    <w:rsid w:val="0027001A"/>
    <w:rsid w:val="00282A35"/>
    <w:rsid w:val="00283B30"/>
    <w:rsid w:val="00286AA1"/>
    <w:rsid w:val="002931D7"/>
    <w:rsid w:val="002962E7"/>
    <w:rsid w:val="002A01D8"/>
    <w:rsid w:val="002B007D"/>
    <w:rsid w:val="002B386E"/>
    <w:rsid w:val="002B6BCB"/>
    <w:rsid w:val="002B719F"/>
    <w:rsid w:val="002C1755"/>
    <w:rsid w:val="002C3BBB"/>
    <w:rsid w:val="002C6BB2"/>
    <w:rsid w:val="002D54A3"/>
    <w:rsid w:val="002E2D46"/>
    <w:rsid w:val="002E3FB2"/>
    <w:rsid w:val="002F0294"/>
    <w:rsid w:val="002F406F"/>
    <w:rsid w:val="002F70B1"/>
    <w:rsid w:val="003003B8"/>
    <w:rsid w:val="00303D80"/>
    <w:rsid w:val="00312D11"/>
    <w:rsid w:val="00313DFB"/>
    <w:rsid w:val="00321879"/>
    <w:rsid w:val="00323B43"/>
    <w:rsid w:val="003324C8"/>
    <w:rsid w:val="003552BF"/>
    <w:rsid w:val="0036717F"/>
    <w:rsid w:val="00372B98"/>
    <w:rsid w:val="00376392"/>
    <w:rsid w:val="00377EBA"/>
    <w:rsid w:val="00380B67"/>
    <w:rsid w:val="0039098E"/>
    <w:rsid w:val="00391B2F"/>
    <w:rsid w:val="0039359E"/>
    <w:rsid w:val="003941AF"/>
    <w:rsid w:val="0039495A"/>
    <w:rsid w:val="00397E08"/>
    <w:rsid w:val="003A0261"/>
    <w:rsid w:val="003B300C"/>
    <w:rsid w:val="003C6A6E"/>
    <w:rsid w:val="003D37D8"/>
    <w:rsid w:val="003D64BB"/>
    <w:rsid w:val="003D64C8"/>
    <w:rsid w:val="00401591"/>
    <w:rsid w:val="004067B9"/>
    <w:rsid w:val="00421072"/>
    <w:rsid w:val="0042109B"/>
    <w:rsid w:val="00433E05"/>
    <w:rsid w:val="004358AB"/>
    <w:rsid w:val="00454F26"/>
    <w:rsid w:val="0046027B"/>
    <w:rsid w:val="00460459"/>
    <w:rsid w:val="00461498"/>
    <w:rsid w:val="00464387"/>
    <w:rsid w:val="0046774E"/>
    <w:rsid w:val="00470EF4"/>
    <w:rsid w:val="0047184D"/>
    <w:rsid w:val="00472C91"/>
    <w:rsid w:val="004826F1"/>
    <w:rsid w:val="00486153"/>
    <w:rsid w:val="00493835"/>
    <w:rsid w:val="004A4E5C"/>
    <w:rsid w:val="004B043A"/>
    <w:rsid w:val="004C6B34"/>
    <w:rsid w:val="004D4658"/>
    <w:rsid w:val="004D47E5"/>
    <w:rsid w:val="004F10EA"/>
    <w:rsid w:val="004F634C"/>
    <w:rsid w:val="0050494D"/>
    <w:rsid w:val="00513101"/>
    <w:rsid w:val="00533710"/>
    <w:rsid w:val="00535393"/>
    <w:rsid w:val="0053639C"/>
    <w:rsid w:val="00541132"/>
    <w:rsid w:val="00542781"/>
    <w:rsid w:val="00542996"/>
    <w:rsid w:val="005429FD"/>
    <w:rsid w:val="005430E2"/>
    <w:rsid w:val="005432F2"/>
    <w:rsid w:val="005467CE"/>
    <w:rsid w:val="00547E1B"/>
    <w:rsid w:val="00567551"/>
    <w:rsid w:val="00573CC4"/>
    <w:rsid w:val="00581B94"/>
    <w:rsid w:val="0059252B"/>
    <w:rsid w:val="0059754B"/>
    <w:rsid w:val="005B2F02"/>
    <w:rsid w:val="005B6238"/>
    <w:rsid w:val="005C0BE6"/>
    <w:rsid w:val="005C2CD1"/>
    <w:rsid w:val="005C4CEB"/>
    <w:rsid w:val="005C573E"/>
    <w:rsid w:val="005D127F"/>
    <w:rsid w:val="005D1FA3"/>
    <w:rsid w:val="005D47CF"/>
    <w:rsid w:val="005D7B3C"/>
    <w:rsid w:val="005E02E6"/>
    <w:rsid w:val="005E4099"/>
    <w:rsid w:val="005E755D"/>
    <w:rsid w:val="00600B8F"/>
    <w:rsid w:val="00603085"/>
    <w:rsid w:val="00603B5A"/>
    <w:rsid w:val="0060735F"/>
    <w:rsid w:val="006147AB"/>
    <w:rsid w:val="0062047C"/>
    <w:rsid w:val="00623386"/>
    <w:rsid w:val="00632A5A"/>
    <w:rsid w:val="00643621"/>
    <w:rsid w:val="00643B24"/>
    <w:rsid w:val="00652865"/>
    <w:rsid w:val="00663AF4"/>
    <w:rsid w:val="006919A2"/>
    <w:rsid w:val="0069612A"/>
    <w:rsid w:val="0069773A"/>
    <w:rsid w:val="006A1EB4"/>
    <w:rsid w:val="006A7983"/>
    <w:rsid w:val="006B0253"/>
    <w:rsid w:val="006B5E0A"/>
    <w:rsid w:val="006C06B0"/>
    <w:rsid w:val="006D3897"/>
    <w:rsid w:val="006D54EC"/>
    <w:rsid w:val="006E1E4F"/>
    <w:rsid w:val="006E2AF8"/>
    <w:rsid w:val="006E34DF"/>
    <w:rsid w:val="006F71ED"/>
    <w:rsid w:val="00706471"/>
    <w:rsid w:val="00711FC7"/>
    <w:rsid w:val="00712C99"/>
    <w:rsid w:val="00716417"/>
    <w:rsid w:val="00720DF0"/>
    <w:rsid w:val="007219D3"/>
    <w:rsid w:val="007424C1"/>
    <w:rsid w:val="00752E39"/>
    <w:rsid w:val="007548D1"/>
    <w:rsid w:val="00764A8A"/>
    <w:rsid w:val="00766F46"/>
    <w:rsid w:val="0077039D"/>
    <w:rsid w:val="0077243A"/>
    <w:rsid w:val="0077661A"/>
    <w:rsid w:val="007843F1"/>
    <w:rsid w:val="00796B12"/>
    <w:rsid w:val="00797664"/>
    <w:rsid w:val="007A1B5F"/>
    <w:rsid w:val="007A22C3"/>
    <w:rsid w:val="007B39EB"/>
    <w:rsid w:val="007C05AF"/>
    <w:rsid w:val="007C489A"/>
    <w:rsid w:val="007C73BF"/>
    <w:rsid w:val="007F0533"/>
    <w:rsid w:val="007F1977"/>
    <w:rsid w:val="007F26C1"/>
    <w:rsid w:val="007F5AE9"/>
    <w:rsid w:val="007F621E"/>
    <w:rsid w:val="00800AA4"/>
    <w:rsid w:val="00803F62"/>
    <w:rsid w:val="00811791"/>
    <w:rsid w:val="00813B2A"/>
    <w:rsid w:val="00817416"/>
    <w:rsid w:val="00840838"/>
    <w:rsid w:val="00841042"/>
    <w:rsid w:val="008452D0"/>
    <w:rsid w:val="00850347"/>
    <w:rsid w:val="00850580"/>
    <w:rsid w:val="0085071B"/>
    <w:rsid w:val="00850DC9"/>
    <w:rsid w:val="00857ADE"/>
    <w:rsid w:val="008630FD"/>
    <w:rsid w:val="00865067"/>
    <w:rsid w:val="00871165"/>
    <w:rsid w:val="008739B7"/>
    <w:rsid w:val="00893ED5"/>
    <w:rsid w:val="008A1893"/>
    <w:rsid w:val="008B0CCC"/>
    <w:rsid w:val="008B63B3"/>
    <w:rsid w:val="008B7726"/>
    <w:rsid w:val="008C0E0A"/>
    <w:rsid w:val="008C55E9"/>
    <w:rsid w:val="008D380B"/>
    <w:rsid w:val="008D5244"/>
    <w:rsid w:val="008D588B"/>
    <w:rsid w:val="008D6E32"/>
    <w:rsid w:val="008E39F0"/>
    <w:rsid w:val="008E5935"/>
    <w:rsid w:val="008E5CCF"/>
    <w:rsid w:val="008E72A2"/>
    <w:rsid w:val="008F1842"/>
    <w:rsid w:val="009218CF"/>
    <w:rsid w:val="00924C1A"/>
    <w:rsid w:val="00934D26"/>
    <w:rsid w:val="00941454"/>
    <w:rsid w:val="00941F2A"/>
    <w:rsid w:val="009434F5"/>
    <w:rsid w:val="00944A91"/>
    <w:rsid w:val="00947306"/>
    <w:rsid w:val="00955921"/>
    <w:rsid w:val="00957FE4"/>
    <w:rsid w:val="009660FF"/>
    <w:rsid w:val="00966BFF"/>
    <w:rsid w:val="00967231"/>
    <w:rsid w:val="009768AA"/>
    <w:rsid w:val="00981CDF"/>
    <w:rsid w:val="00981D14"/>
    <w:rsid w:val="009835D4"/>
    <w:rsid w:val="009851EA"/>
    <w:rsid w:val="0098745E"/>
    <w:rsid w:val="00993C9B"/>
    <w:rsid w:val="009A232A"/>
    <w:rsid w:val="009B0FB7"/>
    <w:rsid w:val="009B1507"/>
    <w:rsid w:val="009C0F46"/>
    <w:rsid w:val="009E4611"/>
    <w:rsid w:val="009E784A"/>
    <w:rsid w:val="009F0E8F"/>
    <w:rsid w:val="009F15C1"/>
    <w:rsid w:val="00A01D7A"/>
    <w:rsid w:val="00A168F6"/>
    <w:rsid w:val="00A22B9C"/>
    <w:rsid w:val="00A2421A"/>
    <w:rsid w:val="00A26B9B"/>
    <w:rsid w:val="00A3488E"/>
    <w:rsid w:val="00A42A08"/>
    <w:rsid w:val="00A44218"/>
    <w:rsid w:val="00A5000E"/>
    <w:rsid w:val="00A51B18"/>
    <w:rsid w:val="00A6063B"/>
    <w:rsid w:val="00A624E0"/>
    <w:rsid w:val="00A65150"/>
    <w:rsid w:val="00A8331A"/>
    <w:rsid w:val="00A83F25"/>
    <w:rsid w:val="00A857A7"/>
    <w:rsid w:val="00A94317"/>
    <w:rsid w:val="00AB1DBE"/>
    <w:rsid w:val="00AB2B0A"/>
    <w:rsid w:val="00AB7D7A"/>
    <w:rsid w:val="00AC5312"/>
    <w:rsid w:val="00AC6206"/>
    <w:rsid w:val="00AD23D1"/>
    <w:rsid w:val="00AD597E"/>
    <w:rsid w:val="00AE1D96"/>
    <w:rsid w:val="00AE30BC"/>
    <w:rsid w:val="00AE7E98"/>
    <w:rsid w:val="00AF0D66"/>
    <w:rsid w:val="00B24AA6"/>
    <w:rsid w:val="00B45D96"/>
    <w:rsid w:val="00B53976"/>
    <w:rsid w:val="00B56030"/>
    <w:rsid w:val="00B57229"/>
    <w:rsid w:val="00B6005B"/>
    <w:rsid w:val="00B7192C"/>
    <w:rsid w:val="00B748C5"/>
    <w:rsid w:val="00B75470"/>
    <w:rsid w:val="00B75EFC"/>
    <w:rsid w:val="00B80576"/>
    <w:rsid w:val="00B85B91"/>
    <w:rsid w:val="00BB265E"/>
    <w:rsid w:val="00BC1959"/>
    <w:rsid w:val="00BC69BF"/>
    <w:rsid w:val="00BC73B8"/>
    <w:rsid w:val="00BC7CD5"/>
    <w:rsid w:val="00BE0E7B"/>
    <w:rsid w:val="00BE1AD7"/>
    <w:rsid w:val="00BE49F2"/>
    <w:rsid w:val="00BE5EB6"/>
    <w:rsid w:val="00BE72FE"/>
    <w:rsid w:val="00BF20E2"/>
    <w:rsid w:val="00BF3CA4"/>
    <w:rsid w:val="00C0728A"/>
    <w:rsid w:val="00C10994"/>
    <w:rsid w:val="00C3180B"/>
    <w:rsid w:val="00C33CBD"/>
    <w:rsid w:val="00C366EF"/>
    <w:rsid w:val="00C46A98"/>
    <w:rsid w:val="00C472F0"/>
    <w:rsid w:val="00C51211"/>
    <w:rsid w:val="00C620FB"/>
    <w:rsid w:val="00C62AB4"/>
    <w:rsid w:val="00C76D12"/>
    <w:rsid w:val="00C91012"/>
    <w:rsid w:val="00C930FD"/>
    <w:rsid w:val="00C94154"/>
    <w:rsid w:val="00C94C84"/>
    <w:rsid w:val="00C972D1"/>
    <w:rsid w:val="00C9735B"/>
    <w:rsid w:val="00C9767C"/>
    <w:rsid w:val="00CA04B6"/>
    <w:rsid w:val="00CA26DA"/>
    <w:rsid w:val="00CA555A"/>
    <w:rsid w:val="00CC287A"/>
    <w:rsid w:val="00CC37A6"/>
    <w:rsid w:val="00CD43B4"/>
    <w:rsid w:val="00CD5CEE"/>
    <w:rsid w:val="00CD627F"/>
    <w:rsid w:val="00CE10EC"/>
    <w:rsid w:val="00CE1142"/>
    <w:rsid w:val="00CE1674"/>
    <w:rsid w:val="00D053CF"/>
    <w:rsid w:val="00D06177"/>
    <w:rsid w:val="00D06B4B"/>
    <w:rsid w:val="00D07186"/>
    <w:rsid w:val="00D14F31"/>
    <w:rsid w:val="00D22EAD"/>
    <w:rsid w:val="00D31C7B"/>
    <w:rsid w:val="00D341B1"/>
    <w:rsid w:val="00D415D1"/>
    <w:rsid w:val="00D42210"/>
    <w:rsid w:val="00D44467"/>
    <w:rsid w:val="00D44D51"/>
    <w:rsid w:val="00D60878"/>
    <w:rsid w:val="00D66708"/>
    <w:rsid w:val="00D818AE"/>
    <w:rsid w:val="00D81CC4"/>
    <w:rsid w:val="00D8391B"/>
    <w:rsid w:val="00D95790"/>
    <w:rsid w:val="00D96793"/>
    <w:rsid w:val="00D96CC1"/>
    <w:rsid w:val="00DA3051"/>
    <w:rsid w:val="00DB4C17"/>
    <w:rsid w:val="00DB6B97"/>
    <w:rsid w:val="00DC1370"/>
    <w:rsid w:val="00DD0451"/>
    <w:rsid w:val="00DD3F27"/>
    <w:rsid w:val="00DD661E"/>
    <w:rsid w:val="00DE0659"/>
    <w:rsid w:val="00DF1D92"/>
    <w:rsid w:val="00DF288D"/>
    <w:rsid w:val="00DF2A45"/>
    <w:rsid w:val="00E03F16"/>
    <w:rsid w:val="00E04FA2"/>
    <w:rsid w:val="00E26189"/>
    <w:rsid w:val="00E43C37"/>
    <w:rsid w:val="00E50E0B"/>
    <w:rsid w:val="00E6331E"/>
    <w:rsid w:val="00E640FE"/>
    <w:rsid w:val="00E81019"/>
    <w:rsid w:val="00E87959"/>
    <w:rsid w:val="00EA1E31"/>
    <w:rsid w:val="00EB5813"/>
    <w:rsid w:val="00EC6771"/>
    <w:rsid w:val="00ED55B0"/>
    <w:rsid w:val="00ED745B"/>
    <w:rsid w:val="00ED7D86"/>
    <w:rsid w:val="00EE16FC"/>
    <w:rsid w:val="00F0263A"/>
    <w:rsid w:val="00F045C6"/>
    <w:rsid w:val="00F062B9"/>
    <w:rsid w:val="00F110FE"/>
    <w:rsid w:val="00F13A77"/>
    <w:rsid w:val="00F1614A"/>
    <w:rsid w:val="00F2011F"/>
    <w:rsid w:val="00F313B1"/>
    <w:rsid w:val="00F320FF"/>
    <w:rsid w:val="00F32334"/>
    <w:rsid w:val="00F375D3"/>
    <w:rsid w:val="00F418FB"/>
    <w:rsid w:val="00F42E18"/>
    <w:rsid w:val="00F50F9F"/>
    <w:rsid w:val="00F52CF2"/>
    <w:rsid w:val="00F53FCD"/>
    <w:rsid w:val="00F66252"/>
    <w:rsid w:val="00F717D1"/>
    <w:rsid w:val="00F71E1D"/>
    <w:rsid w:val="00F72374"/>
    <w:rsid w:val="00F802A0"/>
    <w:rsid w:val="00F83B50"/>
    <w:rsid w:val="00F96435"/>
    <w:rsid w:val="00FA0947"/>
    <w:rsid w:val="00FA17EB"/>
    <w:rsid w:val="00FA39FE"/>
    <w:rsid w:val="00FA3ABB"/>
    <w:rsid w:val="00FA4308"/>
    <w:rsid w:val="00FA76BF"/>
    <w:rsid w:val="00FB262B"/>
    <w:rsid w:val="00FB5E63"/>
    <w:rsid w:val="00FB5F0A"/>
    <w:rsid w:val="00FB7683"/>
    <w:rsid w:val="00FC2476"/>
    <w:rsid w:val="00FC41CF"/>
    <w:rsid w:val="00FD3658"/>
    <w:rsid w:val="00FD76BE"/>
    <w:rsid w:val="00FE351E"/>
    <w:rsid w:val="00FF5208"/>
    <w:rsid w:val="1B7D7EB9"/>
    <w:rsid w:val="45DE30FF"/>
    <w:rsid w:val="6EFC9E9E"/>
    <w:rsid w:val="6FB98AFC"/>
    <w:rsid w:val="79FBFEC7"/>
    <w:rsid w:val="7A4D4D10"/>
    <w:rsid w:val="7B77FDB1"/>
    <w:rsid w:val="7CF704FC"/>
    <w:rsid w:val="9E7727FF"/>
    <w:rsid w:val="BE7F4D7D"/>
    <w:rsid w:val="BEFB96FA"/>
    <w:rsid w:val="BEFF838B"/>
    <w:rsid w:val="D9BA14A9"/>
    <w:rsid w:val="DFDE2331"/>
    <w:rsid w:val="EFCF76C3"/>
    <w:rsid w:val="F3BF1E95"/>
    <w:rsid w:val="FED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eastAsiaTheme="maj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Theme="majorEastAsia"/>
      <w:sz w:val="18"/>
      <w:szCs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character" w:customStyle="1" w:styleId="10">
    <w:name w:val="font1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506</Words>
  <Characters>2885</Characters>
  <Lines>24</Lines>
  <Paragraphs>6</Paragraphs>
  <TotalTime>6</TotalTime>
  <ScaleCrop>false</ScaleCrop>
  <LinksUpToDate>false</LinksUpToDate>
  <CharactersWithSpaces>3385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2018-03-11T03:12:00Z</dcterms:created>
  <dc:creator>谭廷仲</dc:creator>
  <cp:lastModifiedBy>uos</cp:lastModifiedBy>
  <cp:lastPrinted>2020-01-04T07:21:00Z</cp:lastPrinted>
  <dcterms:modified xsi:type="dcterms:W3CDTF">2024-06-06T17:04:56Z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C4B71486C00B13FA0D246066DDC1856B</vt:lpwstr>
  </property>
</Properties>
</file>