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/>
        <w:autoSpaceDE w:val="0"/>
        <w:autoSpaceDN w:val="0"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湛江市202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年度城市交通发展奖励资金</w:t>
      </w:r>
    </w:p>
    <w:p>
      <w:pPr>
        <w:keepNext w:val="0"/>
        <w:keepLines w:val="0"/>
        <w:pageBreakBefore w:val="0"/>
        <w:kinsoku/>
        <w:overflowPunct/>
        <w:topLinePunct/>
        <w:autoSpaceDE w:val="0"/>
        <w:autoSpaceDN w:val="0"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分配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（含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2022年度资金清算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kinsoku/>
        <w:overflowPunct/>
        <w:topLinePunct/>
        <w:autoSpaceDE w:val="0"/>
        <w:autoSpaceDN w:val="0"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（征求意见稿）</w:t>
      </w: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/>
          <w:sz w:val="32"/>
          <w:szCs w:val="36"/>
        </w:rPr>
      </w:pPr>
      <w:bookmarkStart w:id="0" w:name="Body"/>
      <w:bookmarkEnd w:id="0"/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根据《广东省财政厅</w:t>
      </w:r>
      <w:r>
        <w:rPr>
          <w:rFonts w:hint="eastAsia" w:ascii="仿宋_GB2312" w:hAnsi="宋体" w:eastAsia="仿宋_GB2312"/>
          <w:sz w:val="32"/>
          <w:szCs w:val="32"/>
        </w:rPr>
        <w:t>关于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提前</w:t>
      </w:r>
      <w:r>
        <w:rPr>
          <w:rFonts w:hint="eastAsia" w:ascii="仿宋_GB2312" w:hAnsi="宋体" w:eastAsia="仿宋_GB2312"/>
          <w:sz w:val="32"/>
          <w:szCs w:val="32"/>
        </w:rPr>
        <w:t>下达中央202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（清算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农村道路客运补贴资金、农村水路客运补贴资金、城市交通发展奖励资金的通知</w:t>
      </w:r>
      <w:r>
        <w:rPr>
          <w:rFonts w:hint="eastAsia" w:ascii="仿宋_GB2312" w:hAnsi="仿宋" w:eastAsia="仿宋_GB2312"/>
          <w:sz w:val="32"/>
          <w:szCs w:val="36"/>
        </w:rPr>
        <w:t>》（</w:t>
      </w:r>
      <w:r>
        <w:rPr>
          <w:rFonts w:hint="eastAsia" w:ascii="仿宋_GB2312" w:hAnsi="宋体" w:eastAsia="仿宋_GB2312"/>
          <w:sz w:val="32"/>
          <w:szCs w:val="32"/>
        </w:rPr>
        <w:t>粤财综〔202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72</w:t>
      </w:r>
      <w:r>
        <w:rPr>
          <w:rFonts w:hint="eastAsia" w:ascii="仿宋_GB2312" w:hAnsi="仿宋" w:eastAsia="仿宋_GB2312"/>
          <w:sz w:val="32"/>
          <w:szCs w:val="36"/>
        </w:rPr>
        <w:t>号，以下简称《通知》）精神，本次拨付给我市的城市交通发展奖励资金514.3107万元（其中出租车费改税资金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111.4717</w:t>
      </w:r>
      <w:r>
        <w:rPr>
          <w:rFonts w:hint="eastAsia" w:ascii="仿宋_GB2312" w:hAnsi="仿宋" w:eastAsia="仿宋_GB2312"/>
          <w:sz w:val="32"/>
          <w:szCs w:val="36"/>
        </w:rPr>
        <w:t>万元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6"/>
        </w:rPr>
        <w:t>出租车涨价补贴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402.839</w:t>
      </w:r>
      <w:r>
        <w:rPr>
          <w:rFonts w:hint="eastAsia" w:ascii="仿宋_GB2312" w:hAnsi="仿宋" w:eastAsia="仿宋_GB2312"/>
          <w:sz w:val="32"/>
          <w:szCs w:val="36"/>
        </w:rPr>
        <w:t>万元）。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另外根据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2023年度城市交通发展奖励资金分配标准，对2022年城市交通发展奖励资金进行重新清算，具体清算金额反映在2023年度实际分配金额中。</w:t>
      </w:r>
      <w:r>
        <w:rPr>
          <w:rFonts w:hint="eastAsia" w:ascii="仿宋_GB2312" w:hAnsi="仿宋" w:eastAsia="仿宋_GB2312"/>
          <w:sz w:val="32"/>
          <w:szCs w:val="36"/>
        </w:rPr>
        <w:t>根据上述文件精神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及清算要求</w:t>
      </w:r>
      <w:r>
        <w:rPr>
          <w:rFonts w:hint="eastAsia" w:ascii="仿宋_GB2312" w:hAnsi="仿宋" w:eastAsia="仿宋_GB2312"/>
          <w:sz w:val="32"/>
          <w:szCs w:val="36"/>
        </w:rPr>
        <w:t>，制定湛江市202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6"/>
        </w:rPr>
        <w:t>年度城市交通发展奖励资金分配方案如下：</w:t>
      </w: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ind w:firstLine="640" w:firstLineChars="200"/>
        <w:rPr>
          <w:rFonts w:ascii="黑体" w:hAnsi="仿宋" w:eastAsia="黑体"/>
          <w:bCs/>
          <w:sz w:val="32"/>
          <w:szCs w:val="36"/>
        </w:rPr>
      </w:pPr>
      <w:r>
        <w:rPr>
          <w:rFonts w:hint="eastAsia" w:ascii="黑体" w:hAnsi="仿宋" w:eastAsia="黑体"/>
          <w:bCs/>
          <w:sz w:val="32"/>
          <w:szCs w:val="36"/>
        </w:rPr>
        <w:t>一、分配原则</w:t>
      </w: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根据《广东省交通运输厅 广东省财政厅关于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印发</w:t>
      </w:r>
      <w:r>
        <w:rPr>
          <w:rFonts w:hint="eastAsia" w:ascii="仿宋_GB2312" w:hAnsi="宋体" w:eastAsia="仿宋_GB2312"/>
          <w:sz w:val="32"/>
          <w:szCs w:val="32"/>
        </w:rPr>
        <w:t>农村道路客运补贴资金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/>
          <w:sz w:val="32"/>
          <w:szCs w:val="32"/>
        </w:rPr>
        <w:t>城市交通发展奖励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资金使用管理实施细则</w:t>
      </w:r>
      <w:r>
        <w:rPr>
          <w:rFonts w:hint="eastAsia" w:ascii="仿宋_GB2312" w:hAnsi="宋体" w:eastAsia="仿宋_GB2312"/>
          <w:sz w:val="32"/>
          <w:szCs w:val="32"/>
        </w:rPr>
        <w:t>的通知》（粤运〔202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号，以下简称《原则》），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根据</w:t>
      </w:r>
      <w:r>
        <w:rPr>
          <w:rFonts w:hint="eastAsia" w:ascii="仿宋_GB2312" w:hAnsi="宋体" w:eastAsia="仿宋_GB2312"/>
          <w:sz w:val="32"/>
          <w:szCs w:val="32"/>
        </w:rPr>
        <w:t>出租车费改税补贴用于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巡游</w:t>
      </w:r>
      <w:r>
        <w:rPr>
          <w:rFonts w:hint="eastAsia" w:ascii="仿宋_GB2312" w:hAnsi="宋体" w:eastAsia="仿宋_GB2312"/>
          <w:sz w:val="32"/>
          <w:szCs w:val="32"/>
        </w:rPr>
        <w:t>出租车运营补助，出租车涨价补贴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资金</w:t>
      </w:r>
      <w:r>
        <w:rPr>
          <w:rFonts w:hint="eastAsia" w:ascii="仿宋_GB2312" w:hAnsi="宋体" w:eastAsia="仿宋_GB2312"/>
          <w:sz w:val="32"/>
          <w:szCs w:val="32"/>
        </w:rPr>
        <w:t>30%部分资金用于补助新能源巡游出租车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，70%部分资金用于补助新能源公交车</w:t>
      </w:r>
      <w:r>
        <w:rPr>
          <w:rFonts w:hint="eastAsia" w:ascii="仿宋_GB2312" w:hAnsi="宋体" w:eastAsia="仿宋_GB2312"/>
          <w:sz w:val="32"/>
          <w:szCs w:val="32"/>
        </w:rPr>
        <w:t>。地市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可统筹考虑</w:t>
      </w:r>
      <w:r>
        <w:rPr>
          <w:rFonts w:hint="eastAsia" w:ascii="仿宋_GB2312" w:hAnsi="宋体" w:eastAsia="仿宋_GB2312"/>
          <w:sz w:val="32"/>
          <w:szCs w:val="32"/>
        </w:rPr>
        <w:t>车辆数、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安全管理</w:t>
      </w:r>
      <w:r>
        <w:rPr>
          <w:rFonts w:hint="eastAsia" w:ascii="仿宋_GB2312" w:hAnsi="宋体" w:eastAsia="仿宋_GB2312"/>
          <w:sz w:val="32"/>
          <w:szCs w:val="32"/>
        </w:rPr>
        <w:t>、服务质量、经营行为等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因素，</w:t>
      </w:r>
      <w:r>
        <w:rPr>
          <w:rFonts w:hint="eastAsia" w:ascii="仿宋_GB2312" w:hAnsi="宋体" w:eastAsia="仿宋_GB2312"/>
          <w:sz w:val="32"/>
          <w:szCs w:val="32"/>
        </w:rPr>
        <w:t>制定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每年度本辖区补贴资金分配方案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ind w:firstLine="640" w:firstLineChars="200"/>
        <w:rPr>
          <w:rFonts w:ascii="黑体" w:hAnsi="仿宋" w:eastAsia="黑体"/>
          <w:bCs/>
          <w:sz w:val="32"/>
          <w:szCs w:val="36"/>
        </w:rPr>
      </w:pPr>
      <w:r>
        <w:rPr>
          <w:rFonts w:hint="eastAsia" w:ascii="黑体" w:hAnsi="仿宋" w:eastAsia="黑体"/>
          <w:bCs/>
          <w:sz w:val="32"/>
          <w:szCs w:val="36"/>
        </w:rPr>
        <w:t>二、方案说明</w:t>
      </w: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（一）《通知》中下达的农村道路客运补贴资金、城市交通发展奖励资金适用于202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6"/>
        </w:rPr>
        <w:t>年度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巡游</w:t>
      </w:r>
      <w:r>
        <w:rPr>
          <w:rFonts w:hint="eastAsia" w:ascii="仿宋_GB2312" w:hAnsi="仿宋" w:eastAsia="仿宋_GB2312"/>
          <w:sz w:val="32"/>
          <w:szCs w:val="36"/>
        </w:rPr>
        <w:t>出租车和新能源公交车的运营补助。</w:t>
      </w: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（二）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根据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申报年度内亡人事故情况设置车辆安全系数指标，即：未发生责任死亡事故车辆的安全系数为1；发生1至</w:t>
      </w:r>
      <w:r>
        <w:rPr>
          <w:rFonts w:hint="default" w:ascii="仿宋_GB2312" w:hAnsi="仿宋" w:eastAsia="仿宋_GB2312"/>
          <w:sz w:val="32"/>
          <w:szCs w:val="36"/>
          <w:lang w:val="en-US" w:eastAsia="zh-CN"/>
        </w:rPr>
        <w:t>2人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的责任死亡事故车辆的安全系数为0.5；发生</w:t>
      </w:r>
      <w:r>
        <w:rPr>
          <w:rFonts w:hint="default" w:ascii="仿宋_GB2312" w:hAnsi="仿宋" w:eastAsia="仿宋_GB2312"/>
          <w:sz w:val="32"/>
          <w:szCs w:val="36"/>
          <w:lang w:val="en-US" w:eastAsia="zh-CN"/>
        </w:rPr>
        <w:t>3人及以上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的责任死亡事故车辆的安全系数为0。我市2023年度达到油补资格条件的同责以上事故车辆有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市区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1辆出租车（粤G62F25），市区1辆公交车（粤G08693D）、坡头区1辆公交车（粤G09916D）、经开区1辆公交车（粤G03383D），责任死亡人数均为1人。</w:t>
      </w: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（三）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巡游</w:t>
      </w:r>
      <w:r>
        <w:rPr>
          <w:rFonts w:hint="eastAsia" w:ascii="仿宋_GB2312" w:hAnsi="仿宋" w:eastAsia="仿宋_GB2312"/>
          <w:sz w:val="32"/>
          <w:szCs w:val="36"/>
        </w:rPr>
        <w:t>出租车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运营补助按</w:t>
      </w:r>
      <w:r>
        <w:rPr>
          <w:rFonts w:hint="eastAsia" w:ascii="仿宋_GB2312" w:hAnsi="仿宋" w:eastAsia="仿宋_GB2312"/>
          <w:sz w:val="32"/>
          <w:szCs w:val="36"/>
        </w:rPr>
        <w:t>实际运营时间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和安全系数计算分配，即按各辖区计算值总数（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∑营运月数*安全系数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）所占全市比例进行分配。</w:t>
      </w: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（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四</w:t>
      </w:r>
      <w:r>
        <w:rPr>
          <w:rFonts w:hint="eastAsia" w:ascii="仿宋_GB2312" w:hAnsi="仿宋" w:eastAsia="仿宋_GB2312"/>
          <w:sz w:val="32"/>
          <w:szCs w:val="36"/>
        </w:rPr>
        <w:t>）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新能源公交车运营补助按安全系数、车型系数和实际营运时间计算分配，即按各辖区计算值总数（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∑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安全系数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*车型系数*运营月数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）所占全市比例进行分配。新能源公交车车型系数：</w:t>
      </w:r>
      <w:r>
        <w:rPr>
          <w:rFonts w:hint="eastAsia" w:ascii="仿宋_GB2312" w:hAnsi="仿宋" w:eastAsia="仿宋_GB2312"/>
          <w:sz w:val="32"/>
          <w:szCs w:val="36"/>
        </w:rPr>
        <w:t>长度大于10米（L</w:t>
      </w:r>
      <w:r>
        <w:rPr>
          <w:rFonts w:hint="eastAsia" w:ascii="仿宋" w:hAnsi="仿宋" w:eastAsia="仿宋"/>
          <w:sz w:val="32"/>
          <w:szCs w:val="36"/>
        </w:rPr>
        <w:t>≥</w:t>
      </w:r>
      <w:r>
        <w:rPr>
          <w:rFonts w:hint="eastAsia" w:ascii="仿宋_GB2312" w:hAnsi="仿宋" w:eastAsia="仿宋_GB2312"/>
          <w:sz w:val="32"/>
          <w:szCs w:val="36"/>
        </w:rPr>
        <w:t>10）车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辆</w:t>
      </w:r>
      <w:r>
        <w:rPr>
          <w:rFonts w:hint="eastAsia" w:ascii="仿宋_GB2312" w:hAnsi="仿宋" w:eastAsia="仿宋_GB2312"/>
          <w:sz w:val="32"/>
          <w:szCs w:val="36"/>
        </w:rPr>
        <w:t>系数为1，长度在8米至10米之间（8</w:t>
      </w:r>
      <w:r>
        <w:rPr>
          <w:rFonts w:hint="eastAsia" w:ascii="仿宋" w:hAnsi="仿宋" w:eastAsia="仿宋"/>
          <w:sz w:val="32"/>
          <w:szCs w:val="36"/>
        </w:rPr>
        <w:t>≤</w:t>
      </w:r>
      <w:r>
        <w:rPr>
          <w:rFonts w:hint="eastAsia" w:ascii="仿宋_GB2312" w:hAnsi="仿宋" w:eastAsia="仿宋_GB2312"/>
          <w:sz w:val="32"/>
          <w:szCs w:val="36"/>
        </w:rPr>
        <w:t>L</w:t>
      </w:r>
      <w:r>
        <w:rPr>
          <w:rFonts w:hint="eastAsia" w:ascii="仿宋" w:hAnsi="仿宋" w:eastAsia="仿宋"/>
          <w:sz w:val="32"/>
          <w:szCs w:val="36"/>
        </w:rPr>
        <w:t>＜</w:t>
      </w:r>
      <w:r>
        <w:rPr>
          <w:rFonts w:hint="eastAsia" w:ascii="仿宋_GB2312" w:hAnsi="仿宋" w:eastAsia="仿宋_GB2312"/>
          <w:sz w:val="32"/>
          <w:szCs w:val="36"/>
        </w:rPr>
        <w:t>10）车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辆</w:t>
      </w:r>
      <w:r>
        <w:rPr>
          <w:rFonts w:hint="eastAsia" w:ascii="仿宋_GB2312" w:hAnsi="仿宋" w:eastAsia="仿宋_GB2312"/>
          <w:sz w:val="32"/>
          <w:szCs w:val="36"/>
        </w:rPr>
        <w:t>系数为0.75，长度在6米到8米（6</w:t>
      </w:r>
      <w:r>
        <w:rPr>
          <w:rFonts w:hint="eastAsia" w:ascii="仿宋" w:hAnsi="仿宋" w:eastAsia="仿宋"/>
          <w:sz w:val="32"/>
          <w:szCs w:val="36"/>
        </w:rPr>
        <w:t>≤</w:t>
      </w:r>
      <w:r>
        <w:rPr>
          <w:rFonts w:hint="eastAsia" w:ascii="仿宋_GB2312" w:hAnsi="仿宋" w:eastAsia="仿宋_GB2312"/>
          <w:sz w:val="32"/>
          <w:szCs w:val="36"/>
        </w:rPr>
        <w:t>L</w:t>
      </w:r>
      <w:r>
        <w:rPr>
          <w:rFonts w:hint="eastAsia" w:ascii="仿宋" w:hAnsi="仿宋" w:eastAsia="仿宋"/>
          <w:sz w:val="32"/>
          <w:szCs w:val="36"/>
        </w:rPr>
        <w:t>＜</w:t>
      </w:r>
      <w:r>
        <w:rPr>
          <w:rFonts w:hint="eastAsia" w:ascii="仿宋_GB2312" w:hAnsi="仿宋" w:eastAsia="仿宋_GB2312"/>
          <w:sz w:val="32"/>
          <w:szCs w:val="36"/>
        </w:rPr>
        <w:t>8）车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辆</w:t>
      </w:r>
      <w:r>
        <w:rPr>
          <w:rFonts w:hint="eastAsia" w:ascii="仿宋_GB2312" w:hAnsi="仿宋" w:eastAsia="仿宋_GB2312"/>
          <w:sz w:val="32"/>
          <w:szCs w:val="36"/>
        </w:rPr>
        <w:t>系数为0.5。</w:t>
      </w:r>
    </w:p>
    <w:p>
      <w:pPr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（</w:t>
      </w:r>
      <w:r>
        <w:rPr>
          <w:rFonts w:hint="eastAsia" w:ascii="仿宋_GB2312" w:hAnsi="仿宋"/>
          <w:sz w:val="32"/>
          <w:szCs w:val="36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6"/>
        </w:rPr>
        <w:t>）</w:t>
      </w:r>
      <w:r>
        <w:rPr>
          <w:rFonts w:hint="eastAsia" w:ascii="仿宋_GB2312" w:hAnsi="仿宋"/>
          <w:szCs w:val="36"/>
        </w:rPr>
        <w:t>本方案计算数据</w:t>
      </w:r>
      <w:r>
        <w:rPr>
          <w:rFonts w:hint="eastAsia" w:ascii="仿宋_GB2312" w:hAnsi="仿宋"/>
          <w:szCs w:val="36"/>
          <w:lang w:eastAsia="zh-CN"/>
        </w:rPr>
        <w:t>为由运输企业申报提交，</w:t>
      </w:r>
      <w:r>
        <w:rPr>
          <w:rFonts w:hint="eastAsia" w:ascii="仿宋_GB2312" w:hAnsi="宋体" w:eastAsia="仿宋_GB2312"/>
          <w:szCs w:val="32"/>
          <w:lang w:val="en-US" w:eastAsia="zh-CN"/>
        </w:rPr>
        <w:t>经各县（市、区）交通运输管理部门核准后上报的数据。</w:t>
      </w:r>
      <w:r>
        <w:rPr>
          <w:rFonts w:hint="eastAsia" w:ascii="仿宋_GB2312" w:hAnsi="宋体"/>
          <w:szCs w:val="32"/>
          <w:lang w:val="en-US" w:eastAsia="zh-CN"/>
        </w:rPr>
        <w:t>上报数据中，巡游出租车月均公里数应不低于5000公里（含5000公里），新能源公交车月均公里数应不低于2500公里（含2500公里），按照实际运营月份数计算运营补助金额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6"/>
          <w:lang w:val="en-US" w:eastAsia="zh-CN"/>
        </w:rPr>
      </w:pPr>
      <w:r>
        <w:rPr>
          <w:rFonts w:hint="eastAsia" w:ascii="仿宋_GB2312" w:hAnsi="仿宋"/>
          <w:sz w:val="32"/>
          <w:szCs w:val="36"/>
          <w:lang w:val="en-US" w:eastAsia="zh-CN"/>
        </w:rPr>
        <w:t>（六）由于拨付2022年城市交通发展奖励资金时未将</w:t>
      </w:r>
      <w:r>
        <w:rPr>
          <w:rFonts w:hint="eastAsia" w:ascii="仿宋_GB2312" w:hAnsi="宋体"/>
          <w:szCs w:val="32"/>
          <w:lang w:val="en-US" w:eastAsia="zh-CN"/>
        </w:rPr>
        <w:t>巡游出租车月均公里数应不低于5000公里（含5000公里）、新能源公交车月均公里数应不低于2500公里（含2500公里）的条件纳入统计，现根据2022年车辆里程数对车辆补助金额进行重新核算调整，最终反映在2023年车辆补助金额当中。</w:t>
      </w: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ind w:firstLine="640" w:firstLineChars="200"/>
        <w:rPr>
          <w:rFonts w:ascii="黑体" w:hAnsi="仿宋" w:eastAsia="黑体"/>
          <w:bCs/>
          <w:sz w:val="32"/>
          <w:szCs w:val="36"/>
        </w:rPr>
      </w:pPr>
      <w:r>
        <w:rPr>
          <w:rFonts w:hint="eastAsia" w:ascii="黑体" w:hAnsi="仿宋" w:eastAsia="黑体"/>
          <w:bCs/>
          <w:sz w:val="32"/>
          <w:szCs w:val="36"/>
        </w:rPr>
        <w:t>三、油价补贴对象的范围和时间</w:t>
      </w:r>
    </w:p>
    <w:p>
      <w:pPr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ind w:firstLine="600"/>
        <w:rPr>
          <w:rFonts w:ascii="仿宋_GB2312" w:hAnsi="Arial" w:cs="Arial"/>
          <w:szCs w:val="32"/>
        </w:rPr>
      </w:pPr>
      <w:r>
        <w:rPr>
          <w:rFonts w:hint="eastAsia" w:ascii="仿宋_GB2312" w:hAnsi="仿宋"/>
          <w:szCs w:val="36"/>
        </w:rPr>
        <w:t>本方案补贴的对象是核定为202</w:t>
      </w:r>
      <w:r>
        <w:rPr>
          <w:rFonts w:hint="eastAsia" w:ascii="仿宋_GB2312" w:hAnsi="仿宋"/>
          <w:szCs w:val="36"/>
          <w:lang w:val="en-US" w:eastAsia="zh-CN"/>
        </w:rPr>
        <w:t>3</w:t>
      </w:r>
      <w:r>
        <w:rPr>
          <w:rFonts w:hint="eastAsia" w:ascii="仿宋_GB2312" w:hAnsi="仿宋"/>
          <w:szCs w:val="36"/>
        </w:rPr>
        <w:t>年合法营运的</w:t>
      </w:r>
      <w:r>
        <w:rPr>
          <w:rFonts w:hint="eastAsia" w:ascii="仿宋_GB2312" w:hAnsi="仿宋"/>
          <w:szCs w:val="36"/>
          <w:lang w:eastAsia="zh-CN"/>
        </w:rPr>
        <w:t>巡游</w:t>
      </w:r>
      <w:r>
        <w:rPr>
          <w:rFonts w:hint="eastAsia" w:ascii="仿宋_GB2312" w:hAnsi="仿宋"/>
          <w:szCs w:val="36"/>
        </w:rPr>
        <w:t>出租车和新能源公交车。</w:t>
      </w:r>
      <w:r>
        <w:rPr>
          <w:rFonts w:hint="eastAsia" w:ascii="仿宋_GB2312" w:hAnsi="仿宋"/>
          <w:szCs w:val="36"/>
          <w:lang w:eastAsia="zh-CN"/>
        </w:rPr>
        <w:t>市</w:t>
      </w:r>
      <w:r>
        <w:rPr>
          <w:rFonts w:hint="eastAsia" w:ascii="仿宋_GB2312" w:hAnsi="仿宋"/>
          <w:szCs w:val="36"/>
        </w:rPr>
        <w:t>区</w:t>
      </w:r>
      <w:r>
        <w:rPr>
          <w:rFonts w:hint="eastAsia" w:ascii="仿宋_GB2312" w:hAnsi="仿宋"/>
          <w:szCs w:val="36"/>
          <w:lang w:eastAsia="zh-CN"/>
        </w:rPr>
        <w:t>出租车</w:t>
      </w:r>
      <w:r>
        <w:rPr>
          <w:rFonts w:hint="eastAsia" w:ascii="仿宋_GB2312" w:hAnsi="仿宋"/>
          <w:szCs w:val="36"/>
        </w:rPr>
        <w:t>企业</w:t>
      </w:r>
      <w:r>
        <w:rPr>
          <w:rFonts w:hint="eastAsia" w:ascii="仿宋_GB2312" w:hAnsi="仿宋"/>
          <w:szCs w:val="36"/>
          <w:lang w:eastAsia="zh-CN"/>
        </w:rPr>
        <w:t>及</w:t>
      </w:r>
      <w:r>
        <w:rPr>
          <w:rFonts w:hint="eastAsia" w:ascii="仿宋_GB2312" w:hAnsi="仿宋"/>
          <w:szCs w:val="36"/>
          <w:lang w:val="en-US" w:eastAsia="zh-CN"/>
        </w:rPr>
        <w:t>市公共交通集团有限公司</w:t>
      </w:r>
      <w:r>
        <w:rPr>
          <w:rFonts w:hint="eastAsia" w:ascii="仿宋_GB2312" w:hAnsi="仿宋"/>
          <w:szCs w:val="36"/>
        </w:rPr>
        <w:t>由市财政局直接拨付，县（市、区）补助资金由市财政下拨县（市、区）财政局，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县（市、区）交通运输局制定分配方案后</w:t>
      </w:r>
      <w:r>
        <w:rPr>
          <w:rFonts w:hint="eastAsia" w:ascii="仿宋_GB2312" w:hAnsi="宋体" w:eastAsia="仿宋_GB2312"/>
          <w:bCs/>
          <w:sz w:val="32"/>
          <w:szCs w:val="32"/>
        </w:rPr>
        <w:t>再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拨付给</w:t>
      </w:r>
      <w:r>
        <w:rPr>
          <w:rFonts w:hint="eastAsia" w:ascii="仿宋_GB2312" w:hAnsi="宋体" w:eastAsia="仿宋_GB2312"/>
          <w:bCs/>
          <w:sz w:val="32"/>
          <w:szCs w:val="32"/>
        </w:rPr>
        <w:t>企业</w:t>
      </w:r>
      <w:r>
        <w:rPr>
          <w:rFonts w:hint="eastAsia" w:ascii="仿宋_GB2312" w:hAnsi="宋体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"/>
          <w:szCs w:val="36"/>
        </w:rPr>
        <w:t>具体分配资金详见分配表）。</w:t>
      </w: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ind w:firstLine="640" w:firstLineChars="200"/>
        <w:rPr>
          <w:rFonts w:ascii="黑体" w:hAnsi="仿宋" w:eastAsia="黑体"/>
          <w:bCs/>
          <w:sz w:val="32"/>
          <w:szCs w:val="36"/>
        </w:rPr>
      </w:pPr>
      <w:r>
        <w:rPr>
          <w:rFonts w:hint="eastAsia" w:ascii="黑体" w:hAnsi="仿宋" w:eastAsia="黑体"/>
          <w:bCs/>
          <w:sz w:val="32"/>
          <w:szCs w:val="36"/>
        </w:rPr>
        <w:t>四、油价补贴资金发放的要求</w:t>
      </w: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各有关单位要认真做好宣传发动工作，并组织专门人员进行调查和审核统计，数据要准确真实。补贴资金拨付各企业后，企业要及时制表分配给经营者并将分配表公示，公示后及时兑付到经营者手中，发放后及时将发放签领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情况及相关材料</w:t>
      </w:r>
      <w:r>
        <w:rPr>
          <w:rFonts w:hint="eastAsia" w:ascii="仿宋_GB2312" w:hAnsi="仿宋" w:eastAsia="仿宋_GB2312"/>
          <w:sz w:val="32"/>
          <w:szCs w:val="36"/>
        </w:rPr>
        <w:t>报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送</w:t>
      </w:r>
      <w:r>
        <w:rPr>
          <w:rFonts w:hint="eastAsia" w:ascii="仿宋_GB2312" w:hAnsi="仿宋" w:eastAsia="仿宋_GB2312"/>
          <w:sz w:val="32"/>
          <w:szCs w:val="36"/>
        </w:rPr>
        <w:t>辖区管理部门。</w:t>
      </w: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ind w:firstLine="640" w:firstLineChars="200"/>
        <w:rPr>
          <w:rFonts w:ascii="黑体" w:hAnsi="仿宋" w:eastAsia="黑体"/>
          <w:bCs/>
          <w:sz w:val="32"/>
          <w:szCs w:val="36"/>
        </w:rPr>
      </w:pPr>
      <w:r>
        <w:rPr>
          <w:rFonts w:hint="eastAsia" w:ascii="黑体" w:hAnsi="仿宋" w:eastAsia="黑体"/>
          <w:bCs/>
          <w:sz w:val="32"/>
          <w:szCs w:val="36"/>
        </w:rPr>
        <w:t>五、检查监督</w:t>
      </w: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各县（市、区）交通运输管理部门、各运输企业要高度重视此项工作，进行自查自检，补贴资金不得滞留、挤占、截留和挪用，要确保补贴资金专款专用，确保真实性，防止虚报冒领等骗补行为发生。各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县（市、区）</w:t>
      </w:r>
      <w:r>
        <w:rPr>
          <w:rFonts w:hint="eastAsia" w:ascii="仿宋_GB2312" w:hAnsi="仿宋" w:eastAsia="仿宋_GB2312"/>
          <w:sz w:val="32"/>
          <w:szCs w:val="36"/>
        </w:rPr>
        <w:t>交通运输主管部门、财政部门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要</w:t>
      </w:r>
      <w:r>
        <w:rPr>
          <w:rFonts w:hint="eastAsia" w:ascii="仿宋_GB2312" w:hAnsi="仿宋" w:eastAsia="仿宋_GB2312"/>
          <w:sz w:val="32"/>
          <w:szCs w:val="36"/>
        </w:rPr>
        <w:t>及时将补助资金拨付方案及情况、绩效报告等报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市</w:t>
      </w:r>
      <w:r>
        <w:rPr>
          <w:rFonts w:hint="eastAsia" w:ascii="仿宋_GB2312" w:hAnsi="仿宋" w:eastAsia="仿宋_GB2312"/>
          <w:sz w:val="32"/>
          <w:szCs w:val="36"/>
        </w:rPr>
        <w:t>交通运输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局</w:t>
      </w:r>
      <w:r>
        <w:rPr>
          <w:rFonts w:hint="eastAsia" w:ascii="仿宋_GB2312" w:hAnsi="仿宋" w:eastAsia="仿宋_GB2312"/>
          <w:sz w:val="32"/>
          <w:szCs w:val="36"/>
        </w:rPr>
        <w:t>、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市财政局</w:t>
      </w:r>
      <w:r>
        <w:rPr>
          <w:rFonts w:hint="eastAsia" w:ascii="仿宋_GB2312" w:hAnsi="仿宋" w:eastAsia="仿宋_GB2312"/>
          <w:sz w:val="32"/>
          <w:szCs w:val="36"/>
        </w:rPr>
        <w:t>备案。</w:t>
      </w: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ind w:firstLine="640" w:firstLineChars="200"/>
        <w:jc w:val="center"/>
        <w:rPr>
          <w:rFonts w:ascii="仿宋_GB2312" w:hAnsi="仿宋" w:eastAsia="仿宋_GB2312"/>
          <w:sz w:val="32"/>
          <w:szCs w:val="36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ind w:left="1920" w:leftChars="200" w:hanging="1280" w:hangingChars="4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附表：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6"/>
        </w:rPr>
        <w:t>湛江市202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6"/>
        </w:rPr>
        <w:t>年度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新能源</w:t>
      </w:r>
      <w:r>
        <w:rPr>
          <w:rFonts w:hint="eastAsia" w:ascii="仿宋_GB2312" w:hAnsi="仿宋" w:eastAsia="仿宋_GB2312"/>
          <w:sz w:val="32"/>
          <w:szCs w:val="36"/>
        </w:rPr>
        <w:t>出租车涨价补贴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资金分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overflowPunct/>
        <w:bidi w:val="0"/>
        <w:adjustRightInd/>
        <w:snapToGrid/>
        <w:spacing w:line="560" w:lineRule="exact"/>
        <w:ind w:leftChars="400" w:firstLine="320" w:firstLineChars="100"/>
        <w:rPr>
          <w:rFonts w:hint="eastAsia" w:ascii="仿宋_GB2312" w:hAnsi="仿宋" w:eastAsia="仿宋_GB2312"/>
          <w:sz w:val="32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6"/>
          <w:lang w:eastAsia="zh-CN"/>
        </w:rPr>
        <w:t>配表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bidi w:val="0"/>
        <w:adjustRightInd/>
        <w:snapToGrid/>
        <w:spacing w:line="560" w:lineRule="exact"/>
        <w:ind w:left="1920" w:leftChars="500" w:hanging="320" w:hangingChars="100"/>
        <w:rPr>
          <w:rFonts w:hint="eastAsia" w:ascii="仿宋_GB2312" w:hAnsi="仿宋"/>
          <w:szCs w:val="36"/>
        </w:rPr>
      </w:pPr>
      <w:r>
        <w:rPr>
          <w:rFonts w:hint="eastAsia" w:ascii="仿宋_GB2312" w:hAnsi="仿宋"/>
          <w:szCs w:val="36"/>
          <w:lang w:val="en-US" w:eastAsia="zh-CN"/>
        </w:rPr>
        <w:t>2023年新能源公交运营资金资金分配表（含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bidi w:val="0"/>
        <w:adjustRightInd/>
        <w:snapToGrid/>
        <w:spacing w:line="560" w:lineRule="exact"/>
        <w:ind w:leftChars="400" w:firstLine="320" w:firstLineChars="100"/>
        <w:rPr>
          <w:rFonts w:hint="eastAsia" w:ascii="仿宋_GB2312" w:hAnsi="仿宋"/>
          <w:szCs w:val="36"/>
          <w:lang w:val="en-US" w:eastAsia="zh-CN"/>
        </w:rPr>
      </w:pPr>
      <w:r>
        <w:rPr>
          <w:rFonts w:hint="eastAsia" w:ascii="仿宋_GB2312" w:hAnsi="仿宋"/>
          <w:szCs w:val="36"/>
          <w:lang w:val="en-US" w:eastAsia="zh-CN"/>
        </w:rPr>
        <w:t>2022年资金清算）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bidi w:val="0"/>
        <w:adjustRightInd/>
        <w:snapToGrid/>
        <w:spacing w:line="560" w:lineRule="exact"/>
        <w:ind w:leftChars="400" w:firstLine="320" w:firstLineChars="100"/>
        <w:rPr>
          <w:rFonts w:hint="eastAsia" w:ascii="仿宋_GB2312" w:hAnsi="仿宋"/>
          <w:szCs w:val="36"/>
        </w:rPr>
      </w:pPr>
      <w:r>
        <w:rPr>
          <w:rFonts w:hint="eastAsia" w:ascii="仿宋_GB2312" w:hAnsi="仿宋"/>
          <w:szCs w:val="36"/>
          <w:lang w:val="en-US" w:eastAsia="zh-CN"/>
        </w:rPr>
        <w:t>3.</w:t>
      </w:r>
      <w:r>
        <w:rPr>
          <w:rFonts w:hint="eastAsia" w:ascii="仿宋_GB2312" w:hAnsi="仿宋"/>
          <w:szCs w:val="36"/>
        </w:rPr>
        <w:t>2023年出租车费改税资金分配表（含2022年资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bidi w:val="0"/>
        <w:adjustRightInd/>
        <w:snapToGrid/>
        <w:spacing w:line="560" w:lineRule="exact"/>
        <w:ind w:leftChars="400" w:firstLine="320" w:firstLineChars="100"/>
        <w:rPr>
          <w:rFonts w:hint="eastAsia" w:ascii="仿宋_GB2312" w:hAnsi="仿宋"/>
          <w:szCs w:val="36"/>
        </w:rPr>
      </w:pPr>
      <w:r>
        <w:rPr>
          <w:rFonts w:hint="eastAsia" w:ascii="仿宋_GB2312" w:hAnsi="仿宋"/>
          <w:szCs w:val="36"/>
        </w:rPr>
        <w:t>金清算）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bidi w:val="0"/>
        <w:adjustRightInd/>
        <w:snapToGrid/>
        <w:spacing w:line="560" w:lineRule="exact"/>
        <w:ind w:leftChars="400" w:firstLine="320" w:firstLineChars="100"/>
        <w:rPr>
          <w:rFonts w:hint="eastAsia" w:ascii="仿宋_GB2312" w:hAnsi="仿宋"/>
          <w:szCs w:val="36"/>
        </w:rPr>
      </w:pPr>
      <w:r>
        <w:rPr>
          <w:rFonts w:hint="eastAsia" w:ascii="仿宋_GB2312" w:hAnsi="仿宋"/>
          <w:szCs w:val="36"/>
        </w:rPr>
        <w:br w:type="page"/>
      </w:r>
    </w:p>
    <w:p>
      <w:pPr>
        <w:pStyle w:val="8"/>
        <w:keepNext w:val="0"/>
        <w:keepLines w:val="0"/>
        <w:pageBreakBefore w:val="0"/>
        <w:kinsoku/>
        <w:wordWrap w:val="0"/>
        <w:overflowPunct/>
        <w:bidi w:val="0"/>
        <w:adjustRightInd/>
        <w:snapToGrid/>
        <w:spacing w:line="560" w:lineRule="exact"/>
        <w:ind w:right="800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cs="Tahoma"/>
          <w:b/>
          <w:color w:val="000000"/>
          <w:spacing w:val="-20"/>
          <w:sz w:val="32"/>
          <w:szCs w:val="32"/>
        </w:rPr>
        <w:t>附表1</w:t>
      </w: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hint="eastAsia" w:eastAsia="宋体" w:asciiTheme="minorEastAsia" w:hAnsiTheme="minorEastAsia" w:cstheme="minorEastAsia"/>
          <w:b/>
          <w:color w:val="000000"/>
          <w:spacing w:val="-20"/>
          <w:sz w:val="32"/>
          <w:szCs w:val="32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145"/>
        <w:gridCol w:w="850"/>
        <w:gridCol w:w="1714"/>
        <w:gridCol w:w="1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湛江市2023年度新能源出租车涨价补贴资金分配表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制表日期2024年9月4日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辖区/单位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车辆数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计算值（安全系数*运营月数）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徐闻县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52444</w:t>
            </w:r>
          </w:p>
        </w:tc>
      </w:tr>
    </w:tbl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ascii="宋体" w:hAnsi="宋体" w:cs="Tahoma"/>
          <w:b/>
          <w:color w:val="000000"/>
          <w:spacing w:val="-20"/>
          <w:sz w:val="32"/>
          <w:szCs w:val="32"/>
        </w:rPr>
      </w:pPr>
    </w:p>
    <w:p>
      <w:pPr>
        <w:rPr>
          <w:rFonts w:hint="eastAsia" w:ascii="宋体" w:hAnsi="宋体" w:cs="Tahoma"/>
          <w:b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宋体" w:hAnsi="宋体" w:cs="Tahoma"/>
          <w:b/>
          <w:color w:val="000000"/>
          <w:spacing w:val="-20"/>
          <w:sz w:val="32"/>
          <w:szCs w:val="32"/>
          <w:lang w:val="en-US" w:eastAsia="zh-CN"/>
        </w:rPr>
        <w:br w:type="page"/>
      </w: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hint="eastAsia" w:ascii="宋体" w:hAnsi="宋体" w:cs="Tahoma"/>
          <w:b/>
          <w:color w:val="000000"/>
          <w:spacing w:val="-20"/>
          <w:sz w:val="32"/>
          <w:szCs w:val="32"/>
          <w:lang w:val="en-US" w:eastAsia="zh-CN"/>
        </w:rPr>
        <w:sectPr>
          <w:pgSz w:w="11906" w:h="16838"/>
          <w:pgMar w:top="1440" w:right="1416" w:bottom="1440" w:left="1800" w:header="708" w:footer="708" w:gutter="0"/>
          <w:cols w:space="708" w:num="1"/>
          <w:docGrid w:type="lines" w:linePitch="360" w:charSpace="0"/>
        </w:sectPr>
      </w:pP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hint="default" w:ascii="宋体" w:hAnsi="宋体" w:cs="Tahoma"/>
          <w:b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宋体" w:hAnsi="宋体" w:cs="Tahoma"/>
          <w:b/>
          <w:color w:val="000000"/>
          <w:spacing w:val="-20"/>
          <w:sz w:val="32"/>
          <w:szCs w:val="32"/>
        </w:rPr>
        <w:t>附表</w:t>
      </w:r>
      <w:r>
        <w:rPr>
          <w:rFonts w:hint="eastAsia" w:ascii="宋体" w:hAnsi="宋体" w:cs="Tahoma"/>
          <w:b/>
          <w:color w:val="000000"/>
          <w:spacing w:val="-20"/>
          <w:sz w:val="32"/>
          <w:szCs w:val="32"/>
          <w:lang w:val="en-US" w:eastAsia="zh-CN"/>
        </w:rPr>
        <w:t>2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876"/>
        <w:gridCol w:w="1846"/>
        <w:gridCol w:w="876"/>
        <w:gridCol w:w="1130"/>
        <w:gridCol w:w="876"/>
        <w:gridCol w:w="1130"/>
        <w:gridCol w:w="1112"/>
        <w:gridCol w:w="980"/>
        <w:gridCol w:w="1121"/>
        <w:gridCol w:w="1470"/>
        <w:gridCol w:w="1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2023年新能源公交运营资金资金分配表（含2022年资金清算）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制表日期2024年9月4日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辖区/单位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2022年原符合条件车辆数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2022年调整后符合条件车辆数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2023年符合条件车辆数及计算值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3=1+2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5=4+2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计算值（安全系数*车型系数*运营月数）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计算值（安全系数*车型系数*运营月数）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计算值（安全系数*车型系数*运营月数）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2022年核定金额（元）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清算金额（元）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2022年应补贴金额（元）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2023年拟分配资金（元）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清算后实际应拨付金额（元）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12375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14002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16864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18491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156748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177363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206113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226728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-7981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31894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74249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9765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84014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84463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94228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101749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110463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188313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197027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220341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18476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238817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267011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285487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坡头区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311777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27001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338778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379435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406436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市公共交通集团有限公司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2563885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-78217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2485668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2760670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2682453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6365.73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3480999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3480999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3975946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3975946 </w:t>
            </w:r>
          </w:p>
        </w:tc>
      </w:tr>
    </w:tbl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hint="eastAsia"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hint="eastAsia" w:ascii="宋体" w:hAnsi="宋体" w:cs="Tahoma"/>
          <w:b/>
          <w:color w:val="000000"/>
          <w:spacing w:val="-2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hint="default" w:ascii="宋体" w:hAnsi="宋体" w:cs="Tahoma"/>
          <w:b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宋体" w:hAnsi="宋体" w:cs="Tahoma"/>
          <w:b/>
          <w:color w:val="000000"/>
          <w:spacing w:val="-20"/>
          <w:sz w:val="32"/>
          <w:szCs w:val="32"/>
        </w:rPr>
        <w:t>附表</w:t>
      </w:r>
      <w:r>
        <w:rPr>
          <w:rFonts w:hint="eastAsia" w:ascii="宋体" w:hAnsi="宋体" w:cs="Tahoma"/>
          <w:b/>
          <w:color w:val="000000"/>
          <w:spacing w:val="-20"/>
          <w:sz w:val="32"/>
          <w:szCs w:val="32"/>
          <w:lang w:val="en-US" w:eastAsia="zh-CN"/>
        </w:rPr>
        <w:t>3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174"/>
        <w:gridCol w:w="1517"/>
        <w:gridCol w:w="876"/>
        <w:gridCol w:w="972"/>
        <w:gridCol w:w="876"/>
        <w:gridCol w:w="972"/>
        <w:gridCol w:w="1186"/>
        <w:gridCol w:w="1115"/>
        <w:gridCol w:w="1277"/>
        <w:gridCol w:w="1424"/>
        <w:gridCol w:w="1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2023年出租车费改税资金分配表（含2022年资金清算）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制表日期2024年9月4日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辖区/单位</w:t>
            </w:r>
          </w:p>
        </w:tc>
        <w:tc>
          <w:tcPr>
            <w:tcW w:w="7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2022年原符合条件车辆数</w:t>
            </w:r>
          </w:p>
        </w:tc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2022年调整后符合条件车辆数</w:t>
            </w:r>
          </w:p>
        </w:tc>
        <w:tc>
          <w:tcPr>
            <w:tcW w:w="686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2023年符合条件车辆数及计算值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3=1+2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5=4+2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车辆数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计算值（安全系数*车型系数*运营月数）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车辆数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计算值（安全系数*车型系数*运营月数）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车辆数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计算值（安全系数*车型系数*运营月数）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2022年核定金额（元）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清算金额（元）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2022年应补贴金额（元）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2023年拟分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配资金（元）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清算后实际应拨付金额（元）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湛江南疆汽车服务有限公司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103249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2406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105655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109430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111836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湛江市翠园出租汽车有限公司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68403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1593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69996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63635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65228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湛江开发区东海工交发展有限公司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8604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8805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10299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湛江市东锐小汽车出租有限公司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51625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1202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52827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66210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67412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湛江市好仕通出租车有限公司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60229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1402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61631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77245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78647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湛江市金通出租汽车有限公司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68833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1604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70437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88280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89884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湛江市联运出租车有限公司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80878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1885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82763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85705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87590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湛江市麻章南方运输有限公司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22371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521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22892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28691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29212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湛江市瑞腾出租车有限责任公司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189290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4410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193700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222171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226581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湛江市通富汽车出租公司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8604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8805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11035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11236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湛江市鑫豪出租汽车有限公司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111853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845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112698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113660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114505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湛江市湛汽小汽车出租有限公司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51625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1202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52827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66210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67412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市区出租车小计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5757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5745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5125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825564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17472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843036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942571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942571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雷州市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17208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-2680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14528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9564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遂溪县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68833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1604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70437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54623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56227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廉江市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118880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-13078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105802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50761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37683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徐闻县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84320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-3318 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81002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57198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53880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7774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7597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1114805 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1114805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1114717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1114717 </w:t>
            </w:r>
          </w:p>
        </w:tc>
      </w:tr>
    </w:tbl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hint="eastAsia" w:ascii="宋体" w:hAnsi="宋体" w:cs="Tahoma"/>
          <w:b/>
          <w:color w:val="000000"/>
          <w:spacing w:val="-2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overflowPunct/>
        <w:bidi w:val="0"/>
        <w:adjustRightInd/>
        <w:snapToGrid/>
        <w:spacing w:line="560" w:lineRule="exact"/>
        <w:rPr>
          <w:rFonts w:hint="eastAsia" w:ascii="宋体" w:hAnsi="宋体" w:cs="Tahoma"/>
          <w:b/>
          <w:color w:val="000000"/>
          <w:spacing w:val="-20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417" w:left="1440" w:header="708" w:footer="709" w:gutter="0"/>
      <w:cols w:space="0" w:num="1"/>
      <w:rtlGutter w:val="0"/>
      <w:docGrid w:type="lines" w:linePitch="4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D5DC5"/>
    <w:multiLevelType w:val="singleLevel"/>
    <w:tmpl w:val="EFDD5DC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VerticalSpacing w:val="22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68AA"/>
    <w:rsid w:val="0000660F"/>
    <w:rsid w:val="000209C5"/>
    <w:rsid w:val="000236B8"/>
    <w:rsid w:val="00025775"/>
    <w:rsid w:val="000257A5"/>
    <w:rsid w:val="00027C9D"/>
    <w:rsid w:val="000356E0"/>
    <w:rsid w:val="000465DD"/>
    <w:rsid w:val="00051997"/>
    <w:rsid w:val="0007141F"/>
    <w:rsid w:val="000714A8"/>
    <w:rsid w:val="00091A88"/>
    <w:rsid w:val="000A62DD"/>
    <w:rsid w:val="000A6C24"/>
    <w:rsid w:val="000A7546"/>
    <w:rsid w:val="000B1B25"/>
    <w:rsid w:val="000B602B"/>
    <w:rsid w:val="000C45D1"/>
    <w:rsid w:val="000D67C3"/>
    <w:rsid w:val="000E0A1B"/>
    <w:rsid w:val="000E24FD"/>
    <w:rsid w:val="000E68C7"/>
    <w:rsid w:val="000E71C9"/>
    <w:rsid w:val="0010055A"/>
    <w:rsid w:val="0010579D"/>
    <w:rsid w:val="0010759F"/>
    <w:rsid w:val="001118D3"/>
    <w:rsid w:val="0011352A"/>
    <w:rsid w:val="001146F2"/>
    <w:rsid w:val="00114EEE"/>
    <w:rsid w:val="0013223C"/>
    <w:rsid w:val="001413F2"/>
    <w:rsid w:val="00142A89"/>
    <w:rsid w:val="00164526"/>
    <w:rsid w:val="00166E62"/>
    <w:rsid w:val="0017113D"/>
    <w:rsid w:val="00180DE9"/>
    <w:rsid w:val="001940DB"/>
    <w:rsid w:val="00195142"/>
    <w:rsid w:val="001A076B"/>
    <w:rsid w:val="001A6E68"/>
    <w:rsid w:val="001B2E04"/>
    <w:rsid w:val="001C1CD6"/>
    <w:rsid w:val="001C7958"/>
    <w:rsid w:val="001D1675"/>
    <w:rsid w:val="001D182D"/>
    <w:rsid w:val="001D63A4"/>
    <w:rsid w:val="001D7DE9"/>
    <w:rsid w:val="001E0B88"/>
    <w:rsid w:val="001F36B8"/>
    <w:rsid w:val="002054DA"/>
    <w:rsid w:val="00212BA9"/>
    <w:rsid w:val="00213F4A"/>
    <w:rsid w:val="0022394A"/>
    <w:rsid w:val="0022698D"/>
    <w:rsid w:val="00231815"/>
    <w:rsid w:val="00236F0C"/>
    <w:rsid w:val="00242EE7"/>
    <w:rsid w:val="002436A3"/>
    <w:rsid w:val="00243BF0"/>
    <w:rsid w:val="00245C25"/>
    <w:rsid w:val="00247302"/>
    <w:rsid w:val="0024796E"/>
    <w:rsid w:val="0026418F"/>
    <w:rsid w:val="0027001A"/>
    <w:rsid w:val="00282A35"/>
    <w:rsid w:val="00283B30"/>
    <w:rsid w:val="00286AA1"/>
    <w:rsid w:val="002931D7"/>
    <w:rsid w:val="002962E7"/>
    <w:rsid w:val="002A01D8"/>
    <w:rsid w:val="002B007D"/>
    <w:rsid w:val="002B386E"/>
    <w:rsid w:val="002B6BCB"/>
    <w:rsid w:val="002B719F"/>
    <w:rsid w:val="002C1755"/>
    <w:rsid w:val="002C3BBB"/>
    <w:rsid w:val="002C6BB2"/>
    <w:rsid w:val="002D54A3"/>
    <w:rsid w:val="002E2D46"/>
    <w:rsid w:val="002E3FB2"/>
    <w:rsid w:val="002F0294"/>
    <w:rsid w:val="002F406F"/>
    <w:rsid w:val="002F70B1"/>
    <w:rsid w:val="003003B8"/>
    <w:rsid w:val="00303D80"/>
    <w:rsid w:val="00312D11"/>
    <w:rsid w:val="00313DFB"/>
    <w:rsid w:val="00321879"/>
    <w:rsid w:val="00323B43"/>
    <w:rsid w:val="003324C8"/>
    <w:rsid w:val="003552BF"/>
    <w:rsid w:val="0036717F"/>
    <w:rsid w:val="00372B98"/>
    <w:rsid w:val="00376392"/>
    <w:rsid w:val="00377EBA"/>
    <w:rsid w:val="00380B67"/>
    <w:rsid w:val="0039098E"/>
    <w:rsid w:val="00391B2F"/>
    <w:rsid w:val="0039359E"/>
    <w:rsid w:val="003941AF"/>
    <w:rsid w:val="0039495A"/>
    <w:rsid w:val="00397E08"/>
    <w:rsid w:val="003A0261"/>
    <w:rsid w:val="003B300C"/>
    <w:rsid w:val="003C6A6E"/>
    <w:rsid w:val="003D37D8"/>
    <w:rsid w:val="003D64BB"/>
    <w:rsid w:val="003D64C8"/>
    <w:rsid w:val="00401591"/>
    <w:rsid w:val="004067B9"/>
    <w:rsid w:val="00421072"/>
    <w:rsid w:val="0042109B"/>
    <w:rsid w:val="00433E05"/>
    <w:rsid w:val="004358AB"/>
    <w:rsid w:val="00454F26"/>
    <w:rsid w:val="0046027B"/>
    <w:rsid w:val="00460459"/>
    <w:rsid w:val="00461498"/>
    <w:rsid w:val="00464387"/>
    <w:rsid w:val="0046774E"/>
    <w:rsid w:val="00470EF4"/>
    <w:rsid w:val="0047184D"/>
    <w:rsid w:val="00472C91"/>
    <w:rsid w:val="004826F1"/>
    <w:rsid w:val="00486153"/>
    <w:rsid w:val="00493835"/>
    <w:rsid w:val="004A4E5C"/>
    <w:rsid w:val="004B043A"/>
    <w:rsid w:val="004C6B34"/>
    <w:rsid w:val="004D4658"/>
    <w:rsid w:val="004D47E5"/>
    <w:rsid w:val="004F10EA"/>
    <w:rsid w:val="004F634C"/>
    <w:rsid w:val="0050494D"/>
    <w:rsid w:val="00513101"/>
    <w:rsid w:val="00533710"/>
    <w:rsid w:val="00535393"/>
    <w:rsid w:val="0053639C"/>
    <w:rsid w:val="00541132"/>
    <w:rsid w:val="00542781"/>
    <w:rsid w:val="00542996"/>
    <w:rsid w:val="005429FD"/>
    <w:rsid w:val="005430E2"/>
    <w:rsid w:val="005432F2"/>
    <w:rsid w:val="005467CE"/>
    <w:rsid w:val="00547E1B"/>
    <w:rsid w:val="00567551"/>
    <w:rsid w:val="00573CC4"/>
    <w:rsid w:val="00581B94"/>
    <w:rsid w:val="0059252B"/>
    <w:rsid w:val="0059754B"/>
    <w:rsid w:val="005B2F02"/>
    <w:rsid w:val="005B6238"/>
    <w:rsid w:val="005C0BE6"/>
    <w:rsid w:val="005C2CD1"/>
    <w:rsid w:val="005C4CEB"/>
    <w:rsid w:val="005C573E"/>
    <w:rsid w:val="005D127F"/>
    <w:rsid w:val="005D1FA3"/>
    <w:rsid w:val="005D47CF"/>
    <w:rsid w:val="005D7B3C"/>
    <w:rsid w:val="005E02E6"/>
    <w:rsid w:val="005E4099"/>
    <w:rsid w:val="005E755D"/>
    <w:rsid w:val="00600B8F"/>
    <w:rsid w:val="00603085"/>
    <w:rsid w:val="00603B5A"/>
    <w:rsid w:val="0060735F"/>
    <w:rsid w:val="006147AB"/>
    <w:rsid w:val="0062047C"/>
    <w:rsid w:val="00623386"/>
    <w:rsid w:val="00632A5A"/>
    <w:rsid w:val="00643621"/>
    <w:rsid w:val="00643B24"/>
    <w:rsid w:val="00652865"/>
    <w:rsid w:val="00663AF4"/>
    <w:rsid w:val="006919A2"/>
    <w:rsid w:val="0069612A"/>
    <w:rsid w:val="0069773A"/>
    <w:rsid w:val="006A1EB4"/>
    <w:rsid w:val="006A7983"/>
    <w:rsid w:val="006B0253"/>
    <w:rsid w:val="006B5E0A"/>
    <w:rsid w:val="006C06B0"/>
    <w:rsid w:val="006D3897"/>
    <w:rsid w:val="006D54EC"/>
    <w:rsid w:val="006E1E4F"/>
    <w:rsid w:val="006E2AF8"/>
    <w:rsid w:val="006E34DF"/>
    <w:rsid w:val="006F71ED"/>
    <w:rsid w:val="00706471"/>
    <w:rsid w:val="00711FC7"/>
    <w:rsid w:val="00712C99"/>
    <w:rsid w:val="00716417"/>
    <w:rsid w:val="00720DF0"/>
    <w:rsid w:val="007219D3"/>
    <w:rsid w:val="007424C1"/>
    <w:rsid w:val="00752E39"/>
    <w:rsid w:val="007548D1"/>
    <w:rsid w:val="00764A8A"/>
    <w:rsid w:val="00766F46"/>
    <w:rsid w:val="0077039D"/>
    <w:rsid w:val="0077243A"/>
    <w:rsid w:val="0077661A"/>
    <w:rsid w:val="007843F1"/>
    <w:rsid w:val="00796B12"/>
    <w:rsid w:val="00797664"/>
    <w:rsid w:val="007A1B5F"/>
    <w:rsid w:val="007A22C3"/>
    <w:rsid w:val="007B39EB"/>
    <w:rsid w:val="007C05AF"/>
    <w:rsid w:val="007C489A"/>
    <w:rsid w:val="007C73BF"/>
    <w:rsid w:val="007F0533"/>
    <w:rsid w:val="007F1977"/>
    <w:rsid w:val="007F26C1"/>
    <w:rsid w:val="007F5AE9"/>
    <w:rsid w:val="007F621E"/>
    <w:rsid w:val="00800AA4"/>
    <w:rsid w:val="00803F62"/>
    <w:rsid w:val="00811791"/>
    <w:rsid w:val="00813B2A"/>
    <w:rsid w:val="00817416"/>
    <w:rsid w:val="00840838"/>
    <w:rsid w:val="00841042"/>
    <w:rsid w:val="008452D0"/>
    <w:rsid w:val="00850347"/>
    <w:rsid w:val="00850580"/>
    <w:rsid w:val="0085071B"/>
    <w:rsid w:val="00850DC9"/>
    <w:rsid w:val="00857ADE"/>
    <w:rsid w:val="008630FD"/>
    <w:rsid w:val="00865067"/>
    <w:rsid w:val="00871165"/>
    <w:rsid w:val="008739B7"/>
    <w:rsid w:val="00893ED5"/>
    <w:rsid w:val="008A1893"/>
    <w:rsid w:val="008B0CCC"/>
    <w:rsid w:val="008B63B3"/>
    <w:rsid w:val="008B7726"/>
    <w:rsid w:val="008C0E0A"/>
    <w:rsid w:val="008C55E9"/>
    <w:rsid w:val="008D380B"/>
    <w:rsid w:val="008D5244"/>
    <w:rsid w:val="008D588B"/>
    <w:rsid w:val="008D6E32"/>
    <w:rsid w:val="008E39F0"/>
    <w:rsid w:val="008E5935"/>
    <w:rsid w:val="008E5CCF"/>
    <w:rsid w:val="008E72A2"/>
    <w:rsid w:val="008F1842"/>
    <w:rsid w:val="009218CF"/>
    <w:rsid w:val="00924C1A"/>
    <w:rsid w:val="00934D26"/>
    <w:rsid w:val="00941454"/>
    <w:rsid w:val="00941F2A"/>
    <w:rsid w:val="009434F5"/>
    <w:rsid w:val="00944A91"/>
    <w:rsid w:val="00947306"/>
    <w:rsid w:val="00955921"/>
    <w:rsid w:val="00957FE4"/>
    <w:rsid w:val="009660FF"/>
    <w:rsid w:val="00966BFF"/>
    <w:rsid w:val="00967231"/>
    <w:rsid w:val="009768AA"/>
    <w:rsid w:val="00981CDF"/>
    <w:rsid w:val="00981D14"/>
    <w:rsid w:val="009835D4"/>
    <w:rsid w:val="009851EA"/>
    <w:rsid w:val="0098745E"/>
    <w:rsid w:val="00993C9B"/>
    <w:rsid w:val="009A232A"/>
    <w:rsid w:val="009B0FB7"/>
    <w:rsid w:val="009B1507"/>
    <w:rsid w:val="009C0F46"/>
    <w:rsid w:val="009E4611"/>
    <w:rsid w:val="009E784A"/>
    <w:rsid w:val="009F0E8F"/>
    <w:rsid w:val="009F15C1"/>
    <w:rsid w:val="00A01D7A"/>
    <w:rsid w:val="00A168F6"/>
    <w:rsid w:val="00A22B9C"/>
    <w:rsid w:val="00A2421A"/>
    <w:rsid w:val="00A26B9B"/>
    <w:rsid w:val="00A3488E"/>
    <w:rsid w:val="00A42A08"/>
    <w:rsid w:val="00A44218"/>
    <w:rsid w:val="00A5000E"/>
    <w:rsid w:val="00A51B18"/>
    <w:rsid w:val="00A6063B"/>
    <w:rsid w:val="00A624E0"/>
    <w:rsid w:val="00A65150"/>
    <w:rsid w:val="00A8331A"/>
    <w:rsid w:val="00A83F25"/>
    <w:rsid w:val="00A857A7"/>
    <w:rsid w:val="00A94317"/>
    <w:rsid w:val="00AB1DBE"/>
    <w:rsid w:val="00AB2B0A"/>
    <w:rsid w:val="00AB7D7A"/>
    <w:rsid w:val="00AC5312"/>
    <w:rsid w:val="00AC6206"/>
    <w:rsid w:val="00AD23D1"/>
    <w:rsid w:val="00AD597E"/>
    <w:rsid w:val="00AE1D96"/>
    <w:rsid w:val="00AE30BC"/>
    <w:rsid w:val="00AE7E98"/>
    <w:rsid w:val="00AF0D66"/>
    <w:rsid w:val="00B24AA6"/>
    <w:rsid w:val="00B45D96"/>
    <w:rsid w:val="00B53976"/>
    <w:rsid w:val="00B56030"/>
    <w:rsid w:val="00B57229"/>
    <w:rsid w:val="00B6005B"/>
    <w:rsid w:val="00B7192C"/>
    <w:rsid w:val="00B748C5"/>
    <w:rsid w:val="00B75470"/>
    <w:rsid w:val="00B75EFC"/>
    <w:rsid w:val="00B80576"/>
    <w:rsid w:val="00B85B91"/>
    <w:rsid w:val="00BB265E"/>
    <w:rsid w:val="00BC1959"/>
    <w:rsid w:val="00BC69BF"/>
    <w:rsid w:val="00BC73B8"/>
    <w:rsid w:val="00BC7CD5"/>
    <w:rsid w:val="00BE0E7B"/>
    <w:rsid w:val="00BE1AD7"/>
    <w:rsid w:val="00BE49F2"/>
    <w:rsid w:val="00BE5EB6"/>
    <w:rsid w:val="00BE72FE"/>
    <w:rsid w:val="00BF20E2"/>
    <w:rsid w:val="00BF3CA4"/>
    <w:rsid w:val="00C0728A"/>
    <w:rsid w:val="00C10994"/>
    <w:rsid w:val="00C3180B"/>
    <w:rsid w:val="00C33CBD"/>
    <w:rsid w:val="00C366EF"/>
    <w:rsid w:val="00C46A98"/>
    <w:rsid w:val="00C472F0"/>
    <w:rsid w:val="00C51211"/>
    <w:rsid w:val="00C620FB"/>
    <w:rsid w:val="00C62AB4"/>
    <w:rsid w:val="00C76D12"/>
    <w:rsid w:val="00C91012"/>
    <w:rsid w:val="00C930FD"/>
    <w:rsid w:val="00C94154"/>
    <w:rsid w:val="00C94C84"/>
    <w:rsid w:val="00C972D1"/>
    <w:rsid w:val="00C9735B"/>
    <w:rsid w:val="00C9767C"/>
    <w:rsid w:val="00CA04B6"/>
    <w:rsid w:val="00CA26DA"/>
    <w:rsid w:val="00CA555A"/>
    <w:rsid w:val="00CC287A"/>
    <w:rsid w:val="00CC37A6"/>
    <w:rsid w:val="00CD43B4"/>
    <w:rsid w:val="00CD5CEE"/>
    <w:rsid w:val="00CD627F"/>
    <w:rsid w:val="00CE10EC"/>
    <w:rsid w:val="00CE1142"/>
    <w:rsid w:val="00CE1674"/>
    <w:rsid w:val="00D053CF"/>
    <w:rsid w:val="00D06177"/>
    <w:rsid w:val="00D06B4B"/>
    <w:rsid w:val="00D07186"/>
    <w:rsid w:val="00D14F31"/>
    <w:rsid w:val="00D22EAD"/>
    <w:rsid w:val="00D31C7B"/>
    <w:rsid w:val="00D341B1"/>
    <w:rsid w:val="00D415D1"/>
    <w:rsid w:val="00D42210"/>
    <w:rsid w:val="00D44467"/>
    <w:rsid w:val="00D44D51"/>
    <w:rsid w:val="00D60878"/>
    <w:rsid w:val="00D66708"/>
    <w:rsid w:val="00D818AE"/>
    <w:rsid w:val="00D81CC4"/>
    <w:rsid w:val="00D8391B"/>
    <w:rsid w:val="00D95790"/>
    <w:rsid w:val="00D96793"/>
    <w:rsid w:val="00D96CC1"/>
    <w:rsid w:val="00DA3051"/>
    <w:rsid w:val="00DB4C17"/>
    <w:rsid w:val="00DB6B97"/>
    <w:rsid w:val="00DC1370"/>
    <w:rsid w:val="00DD0451"/>
    <w:rsid w:val="00DD3F27"/>
    <w:rsid w:val="00DD661E"/>
    <w:rsid w:val="00DE0659"/>
    <w:rsid w:val="00DF1D92"/>
    <w:rsid w:val="00DF288D"/>
    <w:rsid w:val="00DF2A45"/>
    <w:rsid w:val="00E03F16"/>
    <w:rsid w:val="00E04FA2"/>
    <w:rsid w:val="00E26189"/>
    <w:rsid w:val="00E43C37"/>
    <w:rsid w:val="00E50E0B"/>
    <w:rsid w:val="00E6331E"/>
    <w:rsid w:val="00E640FE"/>
    <w:rsid w:val="00E81019"/>
    <w:rsid w:val="00E87959"/>
    <w:rsid w:val="00EA1E31"/>
    <w:rsid w:val="00EB5813"/>
    <w:rsid w:val="00EC6771"/>
    <w:rsid w:val="00ED55B0"/>
    <w:rsid w:val="00ED745B"/>
    <w:rsid w:val="00ED7D86"/>
    <w:rsid w:val="00EE16FC"/>
    <w:rsid w:val="00F0263A"/>
    <w:rsid w:val="00F045C6"/>
    <w:rsid w:val="00F062B9"/>
    <w:rsid w:val="00F110FE"/>
    <w:rsid w:val="00F13A77"/>
    <w:rsid w:val="00F1614A"/>
    <w:rsid w:val="00F2011F"/>
    <w:rsid w:val="00F313B1"/>
    <w:rsid w:val="00F320FF"/>
    <w:rsid w:val="00F32334"/>
    <w:rsid w:val="00F375D3"/>
    <w:rsid w:val="00F418FB"/>
    <w:rsid w:val="00F42E18"/>
    <w:rsid w:val="00F50F9F"/>
    <w:rsid w:val="00F52CF2"/>
    <w:rsid w:val="00F53FCD"/>
    <w:rsid w:val="00F66252"/>
    <w:rsid w:val="00F717D1"/>
    <w:rsid w:val="00F71E1D"/>
    <w:rsid w:val="00F72374"/>
    <w:rsid w:val="00F802A0"/>
    <w:rsid w:val="00F83B50"/>
    <w:rsid w:val="00F96435"/>
    <w:rsid w:val="00FA0947"/>
    <w:rsid w:val="00FA17EB"/>
    <w:rsid w:val="00FA39FE"/>
    <w:rsid w:val="00FA3ABB"/>
    <w:rsid w:val="00FA4308"/>
    <w:rsid w:val="00FA76BF"/>
    <w:rsid w:val="00FB262B"/>
    <w:rsid w:val="00FB5E63"/>
    <w:rsid w:val="00FB5F0A"/>
    <w:rsid w:val="00FB7683"/>
    <w:rsid w:val="00FC2476"/>
    <w:rsid w:val="00FC41CF"/>
    <w:rsid w:val="00FD3658"/>
    <w:rsid w:val="00FD76BE"/>
    <w:rsid w:val="00FE351E"/>
    <w:rsid w:val="00FF5208"/>
    <w:rsid w:val="0D77595A"/>
    <w:rsid w:val="297E6DAE"/>
    <w:rsid w:val="4D7DF500"/>
    <w:rsid w:val="4F6C8CF2"/>
    <w:rsid w:val="4FB7EA6A"/>
    <w:rsid w:val="4FC33AF2"/>
    <w:rsid w:val="55CF3199"/>
    <w:rsid w:val="5FC96E22"/>
    <w:rsid w:val="62BF0AEA"/>
    <w:rsid w:val="67D5A185"/>
    <w:rsid w:val="6B3B437D"/>
    <w:rsid w:val="6BFF7E2B"/>
    <w:rsid w:val="6EFC9E9E"/>
    <w:rsid w:val="6F9BA3A7"/>
    <w:rsid w:val="6FB98AFC"/>
    <w:rsid w:val="70FFA9B5"/>
    <w:rsid w:val="73FB4485"/>
    <w:rsid w:val="73FFD818"/>
    <w:rsid w:val="75FF7C62"/>
    <w:rsid w:val="777932C9"/>
    <w:rsid w:val="77EF03B7"/>
    <w:rsid w:val="79DF8D00"/>
    <w:rsid w:val="79FBFEC7"/>
    <w:rsid w:val="7BEBC6B1"/>
    <w:rsid w:val="7BEFB470"/>
    <w:rsid w:val="7CF704FC"/>
    <w:rsid w:val="7E3D6898"/>
    <w:rsid w:val="7EE72080"/>
    <w:rsid w:val="7F172D13"/>
    <w:rsid w:val="7FB39E8F"/>
    <w:rsid w:val="7FEF47A0"/>
    <w:rsid w:val="7FF38F98"/>
    <w:rsid w:val="7FFE4D97"/>
    <w:rsid w:val="93FBB505"/>
    <w:rsid w:val="9E7727FF"/>
    <w:rsid w:val="A54BEDA3"/>
    <w:rsid w:val="AAFB7DFE"/>
    <w:rsid w:val="ABDDF773"/>
    <w:rsid w:val="AEB9BFED"/>
    <w:rsid w:val="B67F4A78"/>
    <w:rsid w:val="B7AEF21D"/>
    <w:rsid w:val="B7E6C73B"/>
    <w:rsid w:val="B7FF0DDB"/>
    <w:rsid w:val="B9EDAC47"/>
    <w:rsid w:val="BDEBE3BF"/>
    <w:rsid w:val="BE4E89B0"/>
    <w:rsid w:val="BEFB96FA"/>
    <w:rsid w:val="BEFF838B"/>
    <w:rsid w:val="BF4F07E2"/>
    <w:rsid w:val="D57F7CBC"/>
    <w:rsid w:val="D9BA14A9"/>
    <w:rsid w:val="DDDDF309"/>
    <w:rsid w:val="DDFB1028"/>
    <w:rsid w:val="DDFD2261"/>
    <w:rsid w:val="DE7FA602"/>
    <w:rsid w:val="DEDBE99A"/>
    <w:rsid w:val="DFBDF63A"/>
    <w:rsid w:val="DFDE2331"/>
    <w:rsid w:val="DFFE3BF9"/>
    <w:rsid w:val="E1664F21"/>
    <w:rsid w:val="E39617A6"/>
    <w:rsid w:val="E3DEA603"/>
    <w:rsid w:val="E5DAEE3A"/>
    <w:rsid w:val="E6BFB5B4"/>
    <w:rsid w:val="E7D7DCF8"/>
    <w:rsid w:val="E7FB8396"/>
    <w:rsid w:val="E9B77DC8"/>
    <w:rsid w:val="ED3BBCD9"/>
    <w:rsid w:val="EF95D881"/>
    <w:rsid w:val="EFD41714"/>
    <w:rsid w:val="EFFFF095"/>
    <w:rsid w:val="F1EC265F"/>
    <w:rsid w:val="F3BD0AC4"/>
    <w:rsid w:val="F3BF1E95"/>
    <w:rsid w:val="F3EEFB45"/>
    <w:rsid w:val="F4FF85A8"/>
    <w:rsid w:val="F759AC92"/>
    <w:rsid w:val="F7A62430"/>
    <w:rsid w:val="F7D5637F"/>
    <w:rsid w:val="FA7C59BD"/>
    <w:rsid w:val="FE3FCC7D"/>
    <w:rsid w:val="FED8AE99"/>
    <w:rsid w:val="FEFF3BD3"/>
    <w:rsid w:val="FFA74D98"/>
    <w:rsid w:val="FFEDF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center"/>
    </w:pPr>
    <w:rPr>
      <w:rFonts w:eastAsiaTheme="majorEastAsia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rFonts w:ascii="Tahoma" w:hAnsi="Tahoma" w:eastAsiaTheme="majorEastAsia"/>
      <w:sz w:val="18"/>
      <w:szCs w:val="18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6"/>
    <w:link w:val="2"/>
    <w:qFormat/>
    <w:uiPriority w:val="99"/>
    <w:rPr>
      <w:rFonts w:ascii="Tahoma" w:hAnsi="Tahoma"/>
      <w:sz w:val="18"/>
      <w:szCs w:val="18"/>
    </w:rPr>
  </w:style>
  <w:style w:type="character" w:customStyle="1" w:styleId="11">
    <w:name w:val="font1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3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506</Words>
  <Characters>2885</Characters>
  <Lines>24</Lines>
  <Paragraphs>6</Paragraphs>
  <TotalTime>4</TotalTime>
  <ScaleCrop>false</ScaleCrop>
  <LinksUpToDate>false</LinksUpToDate>
  <CharactersWithSpaces>3385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2018-03-14T03:12:00Z</dcterms:created>
  <dc:creator>谭廷仲</dc:creator>
  <cp:lastModifiedBy>uos</cp:lastModifiedBy>
  <cp:lastPrinted>2020-01-07T07:21:00Z</cp:lastPrinted>
  <dcterms:modified xsi:type="dcterms:W3CDTF">2024-09-04T10:27:38Z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FC8B301A2BB201B1EB7B9766404A729B_42</vt:lpwstr>
  </property>
</Properties>
</file>